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21EC" w14:textId="2601F81C" w:rsidR="00A10484" w:rsidRPr="006B1980" w:rsidRDefault="00585171" w:rsidP="006B1980">
      <w:pPr>
        <w:pStyle w:val="Title"/>
        <w:jc w:val="center"/>
        <w:rPr>
          <w:b/>
        </w:rPr>
      </w:pPr>
      <w:r>
        <w:rPr>
          <w:b/>
        </w:rPr>
        <w:t>Election</w:t>
      </w:r>
      <w:r w:rsidR="005C3032" w:rsidRPr="006B1980">
        <w:rPr>
          <w:b/>
        </w:rPr>
        <w:t xml:space="preserve"> 2019 - </w:t>
      </w:r>
      <w:r w:rsidR="00820223">
        <w:rPr>
          <w:b/>
        </w:rPr>
        <w:t>Taxation</w:t>
      </w:r>
    </w:p>
    <w:p w14:paraId="41370587" w14:textId="77777777" w:rsidR="00904B01" w:rsidRDefault="00904B01" w:rsidP="00952796">
      <w:pPr>
        <w:pStyle w:val="Heading1"/>
        <w:spacing w:before="0" w:after="120" w:line="276" w:lineRule="auto"/>
        <w:rPr>
          <w:color w:val="DE5C22"/>
        </w:rPr>
      </w:pPr>
    </w:p>
    <w:p w14:paraId="5D4924E0" w14:textId="313B0B8E" w:rsidR="00952796" w:rsidRPr="00EC21F5" w:rsidRDefault="00952796" w:rsidP="00952796">
      <w:pPr>
        <w:pStyle w:val="Heading1"/>
        <w:spacing w:before="0" w:after="120" w:line="276" w:lineRule="auto"/>
        <w:rPr>
          <w:color w:val="DE5C22"/>
        </w:rPr>
      </w:pPr>
      <w:r w:rsidRPr="00EC21F5">
        <w:rPr>
          <w:color w:val="DE5C22"/>
        </w:rPr>
        <w:t>Why is this an issue for women?</w:t>
      </w:r>
    </w:p>
    <w:p w14:paraId="7A594131" w14:textId="094D4FD9" w:rsidR="00952796" w:rsidRDefault="00952796" w:rsidP="00F75482">
      <w:pPr>
        <w:pStyle w:val="ListParagraph"/>
        <w:numPr>
          <w:ilvl w:val="0"/>
          <w:numId w:val="39"/>
        </w:numPr>
      </w:pPr>
      <w:r>
        <w:t>Women are the beneficiaries of a progressive and redistributive taxation system. Taxation data shows that women are underrepresented in the highest income tax brackets and overrepresented in the lowest income tax brackets. Women are also the beneficiaries of increased spending on income support payments and social services.</w:t>
      </w:r>
      <w:r w:rsidR="0048145A">
        <w:t xml:space="preserve"> </w:t>
      </w:r>
      <w:r w:rsidR="00F75482" w:rsidRPr="00F75482">
        <w:t>Unsustainable tax cuts hit publicly funded services, with the potential to reduce jobs. Women are over-represented at lower income levels, therefore changes to government benefits and services affect them disproportionally.</w:t>
      </w:r>
      <w:r w:rsidR="00F75482">
        <w:t xml:space="preserve"> </w:t>
      </w:r>
      <w:r w:rsidR="00E8407C">
        <w:t>(</w:t>
      </w:r>
      <w:hyperlink w:history="1">
        <w:r w:rsidR="00E8407C" w:rsidRPr="000555FB">
          <w:rPr>
            <w:rStyle w:val="Hyperlink"/>
          </w:rPr>
          <w:t>ATO (2018) Taxation Statistics 2015-16, Table 3; www.data.gov.au</w:t>
        </w:r>
      </w:hyperlink>
      <w:r w:rsidR="00E8407C">
        <w:t>).</w:t>
      </w:r>
      <w:r>
        <w:t xml:space="preserve">  </w:t>
      </w:r>
    </w:p>
    <w:p w14:paraId="4D26E14C" w14:textId="77777777" w:rsidR="00952796" w:rsidRDefault="00952796" w:rsidP="00952796">
      <w:pPr>
        <w:pStyle w:val="ListParagraph"/>
        <w:ind w:left="360"/>
      </w:pPr>
    </w:p>
    <w:p w14:paraId="679DFB0C" w14:textId="77777777" w:rsidR="00952796" w:rsidRDefault="00952796" w:rsidP="00952796">
      <w:pPr>
        <w:pStyle w:val="ListParagraph"/>
        <w:numPr>
          <w:ilvl w:val="0"/>
          <w:numId w:val="39"/>
        </w:numPr>
      </w:pPr>
      <w:r>
        <w:t>Women who are the second income earner in a family are also particularly at risk of excessively high effective marginal tax rates. The effective marginal tax rate is the sum of any reductions in means tested benefits plus income tax paid on additional earnings. For example, if a parent increases her hours of work she will be liable for income tax, her Family Tax Benefit will be reduced and she will pay more in childcare. This is a disincentive to work and a drag on productivity in the economy. Australia currently has the third highest rates of female part time work in the OECD.</w:t>
      </w:r>
    </w:p>
    <w:p w14:paraId="5D0F74C3" w14:textId="3E21D1C0" w:rsidR="007F17F2" w:rsidRDefault="00E8407C" w:rsidP="007F17F2">
      <w:pPr>
        <w:pStyle w:val="ListParagraph"/>
        <w:ind w:left="360"/>
        <w:rPr>
          <w:rStyle w:val="Hyperlink"/>
        </w:rPr>
      </w:pPr>
      <w:r>
        <w:t>(</w:t>
      </w:r>
      <w:hyperlink r:id="rId11" w:history="1">
        <w:r w:rsidR="00952796" w:rsidRPr="00D4612F">
          <w:rPr>
            <w:rStyle w:val="Hyperlink"/>
          </w:rPr>
          <w:t>OECD (2018), Part-time employment rate (indicator)</w:t>
        </w:r>
      </w:hyperlink>
      <w:r>
        <w:rPr>
          <w:rStyle w:val="Hyperlink"/>
        </w:rPr>
        <w:t>).</w:t>
      </w:r>
      <w:r w:rsidR="007F17F2">
        <w:rPr>
          <w:rStyle w:val="Hyperlink"/>
        </w:rPr>
        <w:t xml:space="preserve"> </w:t>
      </w:r>
    </w:p>
    <w:p w14:paraId="16D87EF8" w14:textId="77777777" w:rsidR="007F17F2" w:rsidRDefault="007F17F2" w:rsidP="007F17F2">
      <w:pPr>
        <w:pStyle w:val="ListParagraph"/>
        <w:ind w:left="360"/>
        <w:rPr>
          <w:rStyle w:val="Hyperlink"/>
        </w:rPr>
      </w:pPr>
    </w:p>
    <w:p w14:paraId="37297FAE" w14:textId="08D3E09C" w:rsidR="007F17F2" w:rsidRPr="007F17F2" w:rsidRDefault="007F17F2" w:rsidP="007F17F2">
      <w:pPr>
        <w:pStyle w:val="ListParagraph"/>
        <w:numPr>
          <w:ilvl w:val="0"/>
          <w:numId w:val="39"/>
        </w:numPr>
      </w:pPr>
      <w:r w:rsidRPr="007F17F2">
        <w:t>Tax offsets for low income earners increase the effective marginal tax rate for taxpayers within the taper zone, which increases work disincentives for women and other low income taxpayers and are not available to women where the tax payable is less than the amount of the rebate.</w:t>
      </w:r>
      <w:r w:rsidR="00F75482">
        <w:t xml:space="preserve"> </w:t>
      </w:r>
      <w:r w:rsidR="00F75482" w:rsidRPr="00F75482">
        <w:t xml:space="preserve">Low income families are better served by receiving the benefit on a regular basis through </w:t>
      </w:r>
      <w:r w:rsidR="00F75482">
        <w:t xml:space="preserve">transfer payments or </w:t>
      </w:r>
      <w:r w:rsidR="00F75482" w:rsidRPr="00F75482">
        <w:t>reduced PAYG payments, particularly in a low wage growth environment.</w:t>
      </w:r>
    </w:p>
    <w:p w14:paraId="5FC5674A" w14:textId="77777777" w:rsidR="00952796" w:rsidRDefault="00952796" w:rsidP="00952796">
      <w:pPr>
        <w:pStyle w:val="ListParagraph"/>
        <w:ind w:left="360"/>
      </w:pPr>
      <w:r>
        <w:t xml:space="preserve"> </w:t>
      </w:r>
    </w:p>
    <w:p w14:paraId="33187978" w14:textId="77777777" w:rsidR="00952796" w:rsidRDefault="00952796" w:rsidP="00952796">
      <w:pPr>
        <w:pStyle w:val="ListParagraph"/>
        <w:numPr>
          <w:ilvl w:val="0"/>
          <w:numId w:val="39"/>
        </w:numPr>
      </w:pPr>
      <w:r>
        <w:t>The effect of changes in corporate tax rates are mixed. If businesses reinvest in production there may be productivity gains including increased employment, but tax gains may be returned to shareholders as profits. Industries dominated by women, including education and health care are less likely to benefit from corporate tax cuts as they rely on domestic markets.</w:t>
      </w:r>
    </w:p>
    <w:p w14:paraId="4CF8C689" w14:textId="63CDF8D7" w:rsidR="00952796" w:rsidRDefault="00235F8B" w:rsidP="00952796">
      <w:pPr>
        <w:pStyle w:val="ListParagraph"/>
        <w:ind w:left="360"/>
      </w:pPr>
      <w:hyperlink r:id="rId12" w:history="1">
        <w:r w:rsidR="00952796" w:rsidRPr="00917926">
          <w:rPr>
            <w:rStyle w:val="Hyperlink"/>
          </w:rPr>
          <w:t>Dr Janine Dixon, Centre for Policy Studies, Victoria University, at the National Press Club 23 May 2018</w:t>
        </w:r>
      </w:hyperlink>
      <w:r w:rsidR="00952796">
        <w:t xml:space="preserve"> </w:t>
      </w:r>
    </w:p>
    <w:p w14:paraId="0555261A" w14:textId="77777777" w:rsidR="000137E2" w:rsidRDefault="000137E2">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5D65F2B4" w14:textId="5200D76C" w:rsidR="003E6118" w:rsidRPr="00502A64" w:rsidRDefault="003E6118" w:rsidP="003E6118">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1"/>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3E6118" w:rsidRPr="00502A64" w14:paraId="7D8EEFDE"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2B1CBB0F" w14:textId="77777777" w:rsidR="003E6118" w:rsidRPr="00502A64" w:rsidRDefault="003E6118"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0840F5DC" w14:textId="77777777" w:rsidR="003E6118" w:rsidRPr="00502A64" w:rsidRDefault="003E6118"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3F24B05F" w14:textId="77777777" w:rsidR="003E6118" w:rsidRPr="00502A64" w:rsidRDefault="003E6118"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6F95232A" w14:textId="77777777" w:rsidR="003E6118" w:rsidRPr="00502A64" w:rsidRDefault="003E6118" w:rsidP="003E6118">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3E6118" w:rsidRPr="00502A64" w14:paraId="1DB46E59" w14:textId="77777777" w:rsidTr="00555D83">
        <w:tc>
          <w:tcPr>
            <w:tcW w:w="9350" w:type="dxa"/>
            <w:gridSpan w:val="3"/>
            <w:shd w:val="clear" w:color="auto" w:fill="ED7D31"/>
          </w:tcPr>
          <w:p w14:paraId="4772E47D" w14:textId="77777777" w:rsidR="003E6118" w:rsidRPr="00502A64" w:rsidRDefault="003E6118"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E6118" w:rsidRPr="00502A64" w14:paraId="6BA390B0" w14:textId="77777777" w:rsidTr="00555D83">
        <w:tc>
          <w:tcPr>
            <w:tcW w:w="9350" w:type="dxa"/>
            <w:gridSpan w:val="3"/>
          </w:tcPr>
          <w:p w14:paraId="2DFA0521" w14:textId="6CF3349D" w:rsidR="003E6118" w:rsidRPr="003E6118" w:rsidRDefault="003E6118" w:rsidP="003E6118">
            <w:pPr>
              <w:rPr>
                <w:rFonts w:ascii="Calibri" w:eastAsia="Times New Roman" w:hAnsi="Calibri" w:cs="Calibri"/>
                <w:sz w:val="20"/>
                <w:szCs w:val="20"/>
                <w:lang w:val="en-US" w:eastAsia="en-GB"/>
              </w:rPr>
            </w:pPr>
            <w:r w:rsidRPr="00A24B70">
              <w:rPr>
                <w:rFonts w:ascii="Calibri" w:eastAsia="Times New Roman" w:hAnsi="Calibri" w:cs="Calibri"/>
                <w:sz w:val="20"/>
                <w:szCs w:val="20"/>
                <w:lang w:val="en-US" w:eastAsia="en-GB"/>
              </w:rPr>
              <w:t>Any tax reform proposals must be subject to a rigorous gender analysis to identify the effect on women.</w:t>
            </w:r>
          </w:p>
        </w:tc>
      </w:tr>
      <w:tr w:rsidR="003E6118" w:rsidRPr="00502A64" w14:paraId="01B0310B" w14:textId="77777777" w:rsidTr="00555D83">
        <w:trPr>
          <w:trHeight w:val="248"/>
        </w:trPr>
        <w:tc>
          <w:tcPr>
            <w:tcW w:w="9350" w:type="dxa"/>
            <w:gridSpan w:val="3"/>
            <w:shd w:val="clear" w:color="auto" w:fill="FDE5CC" w:themeFill="accent1" w:themeFillTint="33"/>
          </w:tcPr>
          <w:p w14:paraId="7CF297A3"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E6118" w:rsidRPr="00502A64" w14:paraId="2BFAC86E" w14:textId="77777777" w:rsidTr="00555D83">
        <w:trPr>
          <w:trHeight w:val="248"/>
        </w:trPr>
        <w:tc>
          <w:tcPr>
            <w:tcW w:w="3116" w:type="dxa"/>
            <w:shd w:val="clear" w:color="auto" w:fill="FFFFFF" w:themeFill="background1"/>
          </w:tcPr>
          <w:p w14:paraId="5F562AF7"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7BB39E0"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4A7FF52"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E6118" w:rsidRPr="00502A64" w14:paraId="6A6859CF" w14:textId="77777777" w:rsidTr="008101E3">
        <w:trPr>
          <w:trHeight w:val="247"/>
        </w:trPr>
        <w:tc>
          <w:tcPr>
            <w:tcW w:w="3116" w:type="dxa"/>
            <w:shd w:val="clear" w:color="auto" w:fill="F9B268" w:themeFill="accent1" w:themeFillTint="99"/>
          </w:tcPr>
          <w:p w14:paraId="4EE7DD0E" w14:textId="64BE54DC" w:rsidR="003E6118" w:rsidRPr="008101E3" w:rsidRDefault="008101E3" w:rsidP="00555D83">
            <w:pPr>
              <w:rPr>
                <w:rFonts w:ascii="Calibri" w:eastAsia="Times New Roman" w:hAnsi="Calibri" w:cs="Calibri"/>
                <w:sz w:val="20"/>
                <w:szCs w:val="20"/>
                <w:lang w:eastAsia="en-GB"/>
              </w:rPr>
            </w:pPr>
            <w:r w:rsidRPr="008101E3">
              <w:rPr>
                <w:rFonts w:ascii="Calibri" w:eastAsia="Times New Roman" w:hAnsi="Calibri" w:cs="Calibri"/>
                <w:sz w:val="20"/>
                <w:szCs w:val="20"/>
                <w:lang w:eastAsia="en-GB"/>
              </w:rPr>
              <w:t>The ALP has committed to gender responsive budgeting – refer to the machinery of government paper</w:t>
            </w:r>
          </w:p>
          <w:p w14:paraId="30184BA9" w14:textId="77777777" w:rsidR="003E6118" w:rsidRPr="00502A64" w:rsidRDefault="003E6118" w:rsidP="00555D83">
            <w:pPr>
              <w:rPr>
                <w:rFonts w:ascii="Calibri" w:eastAsia="Times New Roman" w:hAnsi="Calibri" w:cs="Calibri"/>
                <w:b/>
                <w:sz w:val="20"/>
                <w:szCs w:val="20"/>
                <w:lang w:eastAsia="en-GB"/>
              </w:rPr>
            </w:pPr>
          </w:p>
        </w:tc>
        <w:tc>
          <w:tcPr>
            <w:tcW w:w="3117" w:type="dxa"/>
            <w:shd w:val="clear" w:color="auto" w:fill="FFFFFF" w:themeFill="background1"/>
          </w:tcPr>
          <w:p w14:paraId="2F1B699D" w14:textId="2863BCDF" w:rsidR="003E6118" w:rsidRPr="00502A64" w:rsidRDefault="003E6118" w:rsidP="00555D83">
            <w:pPr>
              <w:rPr>
                <w:rFonts w:ascii="Calibri" w:eastAsia="Times New Roman" w:hAnsi="Calibri" w:cs="Calibri"/>
                <w:b/>
                <w:sz w:val="20"/>
                <w:szCs w:val="20"/>
                <w:lang w:eastAsia="en-GB"/>
              </w:rPr>
            </w:pPr>
            <w:r>
              <w:rPr>
                <w:rFonts w:ascii="Calibri" w:eastAsia="Times New Roman" w:hAnsi="Calibri" w:cs="Calibri"/>
                <w:sz w:val="20"/>
                <w:szCs w:val="20"/>
                <w:lang w:val="en-US" w:eastAsia="en-GB"/>
              </w:rPr>
              <w:t>There is no distributional analysis of the effect on women, or of the potential effect on effective marginal tax rates; taking account of the means tests applied to social security benefits.</w:t>
            </w:r>
          </w:p>
        </w:tc>
        <w:tc>
          <w:tcPr>
            <w:tcW w:w="3117" w:type="dxa"/>
            <w:shd w:val="clear" w:color="auto" w:fill="FFFFFF" w:themeFill="background1"/>
          </w:tcPr>
          <w:p w14:paraId="49AF6FFF" w14:textId="77777777" w:rsidR="003E6118" w:rsidRPr="00502A64" w:rsidRDefault="003E6118" w:rsidP="00555D83">
            <w:pPr>
              <w:rPr>
                <w:rFonts w:ascii="Calibri" w:eastAsia="Times New Roman" w:hAnsi="Calibri" w:cs="Calibri"/>
                <w:b/>
                <w:sz w:val="20"/>
                <w:szCs w:val="20"/>
                <w:lang w:eastAsia="en-GB"/>
              </w:rPr>
            </w:pPr>
          </w:p>
        </w:tc>
      </w:tr>
      <w:tr w:rsidR="003E6118" w:rsidRPr="00502A64" w14:paraId="7BC65DC4" w14:textId="77777777" w:rsidTr="00555D83">
        <w:tc>
          <w:tcPr>
            <w:tcW w:w="9350" w:type="dxa"/>
            <w:gridSpan w:val="3"/>
            <w:shd w:val="clear" w:color="auto" w:fill="ED7D31"/>
          </w:tcPr>
          <w:p w14:paraId="404A41AD" w14:textId="77777777" w:rsidR="003E6118" w:rsidRPr="00502A64" w:rsidRDefault="003E6118"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E6118" w:rsidRPr="00502A64" w14:paraId="44C714C6" w14:textId="77777777" w:rsidTr="00555D83">
        <w:tc>
          <w:tcPr>
            <w:tcW w:w="9350" w:type="dxa"/>
            <w:gridSpan w:val="3"/>
          </w:tcPr>
          <w:p w14:paraId="040812D4" w14:textId="4B7DB922" w:rsidR="003E6118" w:rsidRPr="003E6118" w:rsidRDefault="003E6118" w:rsidP="003E6118">
            <w:pPr>
              <w:rPr>
                <w:rFonts w:ascii="Calibri" w:eastAsia="Times New Roman" w:hAnsi="Calibri" w:cs="Times New Roman"/>
                <w:sz w:val="20"/>
                <w:szCs w:val="20"/>
              </w:rPr>
            </w:pPr>
            <w:r w:rsidRPr="00B825BB">
              <w:rPr>
                <w:rFonts w:ascii="Calibri" w:eastAsia="Times New Roman" w:hAnsi="Calibri" w:cs="Calibri"/>
                <w:sz w:val="20"/>
                <w:szCs w:val="20"/>
                <w:lang w:val="en-US" w:eastAsia="en-GB"/>
              </w:rPr>
              <w:t xml:space="preserve">Measures that reduce the tax payable by low income earners disproportionately benefit women. </w:t>
            </w:r>
            <w:r>
              <w:rPr>
                <w:rFonts w:ascii="Calibri" w:eastAsia="Times New Roman" w:hAnsi="Calibri" w:cs="Calibri"/>
                <w:sz w:val="20"/>
                <w:szCs w:val="20"/>
                <w:lang w:val="en-US" w:eastAsia="en-GB"/>
              </w:rPr>
              <w:t>R</w:t>
            </w:r>
            <w:r w:rsidRPr="00B825BB">
              <w:rPr>
                <w:rFonts w:ascii="Calibri" w:eastAsia="Times New Roman" w:hAnsi="Calibri" w:cs="Calibri"/>
                <w:sz w:val="20"/>
                <w:szCs w:val="20"/>
                <w:lang w:val="en-US" w:eastAsia="en-GB"/>
              </w:rPr>
              <w:t>eductions to tax rates should be designed to maintain or improve progressivity.</w:t>
            </w:r>
          </w:p>
        </w:tc>
      </w:tr>
      <w:tr w:rsidR="003E6118" w:rsidRPr="00502A64" w14:paraId="300B7520" w14:textId="77777777" w:rsidTr="00555D83">
        <w:trPr>
          <w:trHeight w:val="248"/>
        </w:trPr>
        <w:tc>
          <w:tcPr>
            <w:tcW w:w="9350" w:type="dxa"/>
            <w:gridSpan w:val="3"/>
            <w:shd w:val="clear" w:color="auto" w:fill="FDE5CC" w:themeFill="accent1" w:themeFillTint="33"/>
          </w:tcPr>
          <w:p w14:paraId="2474CDE4" w14:textId="77777777" w:rsidR="003E6118" w:rsidRPr="00502A64" w:rsidRDefault="003E6118"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E6118" w:rsidRPr="00502A64" w14:paraId="1885CC3E" w14:textId="77777777" w:rsidTr="00555D83">
        <w:trPr>
          <w:trHeight w:val="248"/>
        </w:trPr>
        <w:tc>
          <w:tcPr>
            <w:tcW w:w="3116" w:type="dxa"/>
            <w:shd w:val="clear" w:color="auto" w:fill="FFFFFF" w:themeFill="background1"/>
          </w:tcPr>
          <w:p w14:paraId="42992989"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8DB4F9B"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08990D3"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E6118" w:rsidRPr="00502A64" w14:paraId="008CBC4D" w14:textId="77777777" w:rsidTr="003B0225">
        <w:trPr>
          <w:trHeight w:val="247"/>
        </w:trPr>
        <w:tc>
          <w:tcPr>
            <w:tcW w:w="3116" w:type="dxa"/>
            <w:shd w:val="clear" w:color="auto" w:fill="FDE5CC" w:themeFill="accent1" w:themeFillTint="33"/>
          </w:tcPr>
          <w:p w14:paraId="5FF914FA" w14:textId="2DC014EA" w:rsidR="003E6118" w:rsidRDefault="00A92915" w:rsidP="00555D83">
            <w:pPr>
              <w:rPr>
                <w:rFonts w:ascii="Calibri" w:eastAsia="Times New Roman" w:hAnsi="Calibri" w:cs="Calibri"/>
                <w:sz w:val="20"/>
                <w:szCs w:val="20"/>
                <w:lang w:eastAsia="en-GB"/>
              </w:rPr>
            </w:pPr>
            <w:r w:rsidRPr="006B4637">
              <w:rPr>
                <w:rFonts w:ascii="Calibri" w:eastAsia="Times New Roman" w:hAnsi="Calibri" w:cs="Calibri"/>
                <w:sz w:val="20"/>
                <w:szCs w:val="20"/>
                <w:lang w:eastAsia="en-GB"/>
              </w:rPr>
              <w:t xml:space="preserve">The ALP </w:t>
            </w:r>
            <w:r w:rsidR="006B4637">
              <w:rPr>
                <w:rFonts w:ascii="Calibri" w:eastAsia="Times New Roman" w:hAnsi="Calibri" w:cs="Calibri"/>
                <w:sz w:val="20"/>
                <w:szCs w:val="20"/>
                <w:lang w:eastAsia="en-GB"/>
              </w:rPr>
              <w:t xml:space="preserve">will repeal the long term tax changes that benefit high income earners. </w:t>
            </w:r>
          </w:p>
          <w:p w14:paraId="60F5FB74" w14:textId="766322AF" w:rsidR="00A25633" w:rsidRDefault="00A25633"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A budget repair levy of 2% will be added the top marginal tax rate. It is expected this will be removed in the 2022/23 year.</w:t>
            </w:r>
          </w:p>
          <w:p w14:paraId="71A6AC55" w14:textId="46461BB7" w:rsidR="003E6118" w:rsidRPr="006B4637" w:rsidRDefault="006B4637" w:rsidP="00555D83">
            <w:pPr>
              <w:rPr>
                <w:rFonts w:ascii="Calibri" w:eastAsia="Times New Roman" w:hAnsi="Calibri" w:cs="Calibri"/>
                <w:sz w:val="20"/>
                <w:szCs w:val="20"/>
                <w:lang w:eastAsia="en-GB"/>
              </w:rPr>
            </w:pPr>
            <w:r w:rsidRPr="006B4637">
              <w:rPr>
                <w:rFonts w:ascii="Calibri" w:eastAsia="Times New Roman" w:hAnsi="Calibri" w:cs="Calibri"/>
                <w:sz w:val="20"/>
                <w:szCs w:val="20"/>
                <w:lang w:eastAsia="en-GB"/>
              </w:rPr>
              <w:t>Tax reductions will be targeted to low and middle income earners: the maximum low income tax offset will be up to $1080 for people earning $90,000 pa. The offset for low income earners will be $350</w:t>
            </w:r>
          </w:p>
          <w:p w14:paraId="222E4034" w14:textId="552BCF8B" w:rsidR="003E6118" w:rsidRPr="00235F8B" w:rsidRDefault="003B0225" w:rsidP="00555D83">
            <w:pPr>
              <w:rPr>
                <w:rFonts w:ascii="Calibri" w:eastAsia="Times New Roman" w:hAnsi="Calibri" w:cs="Calibri"/>
                <w:sz w:val="20"/>
                <w:szCs w:val="20"/>
                <w:lang w:eastAsia="en-GB"/>
              </w:rPr>
            </w:pPr>
            <w:r w:rsidRPr="00235F8B">
              <w:rPr>
                <w:rFonts w:ascii="Calibri" w:eastAsia="Times New Roman" w:hAnsi="Calibri" w:cs="Calibri"/>
                <w:sz w:val="20"/>
                <w:szCs w:val="20"/>
                <w:lang w:eastAsia="en-GB"/>
              </w:rPr>
              <w:t xml:space="preserve">There are still concerns that the interaction of tax rates with transfer payments, including child care subsidies and family tax benefits, result in a high effective marginal tax rate for low to middle income working parents.  </w:t>
            </w:r>
          </w:p>
          <w:p w14:paraId="6361C02A" w14:textId="77777777" w:rsidR="003E6118" w:rsidRPr="00502A64" w:rsidRDefault="003E6118" w:rsidP="00555D83">
            <w:pPr>
              <w:rPr>
                <w:rFonts w:ascii="Calibri" w:eastAsia="Times New Roman" w:hAnsi="Calibri" w:cs="Calibri"/>
                <w:b/>
                <w:sz w:val="20"/>
                <w:szCs w:val="20"/>
                <w:lang w:eastAsia="en-GB"/>
              </w:rPr>
            </w:pPr>
          </w:p>
          <w:p w14:paraId="3815EAB8" w14:textId="77777777" w:rsidR="003E6118" w:rsidRPr="00502A64" w:rsidRDefault="003E6118" w:rsidP="00555D83">
            <w:pPr>
              <w:rPr>
                <w:rFonts w:ascii="Calibri" w:eastAsia="Times New Roman" w:hAnsi="Calibri" w:cs="Calibri"/>
                <w:b/>
                <w:sz w:val="20"/>
                <w:szCs w:val="20"/>
                <w:lang w:eastAsia="en-GB"/>
              </w:rPr>
            </w:pPr>
          </w:p>
        </w:tc>
        <w:tc>
          <w:tcPr>
            <w:tcW w:w="3117" w:type="dxa"/>
            <w:shd w:val="clear" w:color="auto" w:fill="FFFFFF" w:themeFill="background1"/>
          </w:tcPr>
          <w:p w14:paraId="1D13CADB" w14:textId="77777777" w:rsidR="005F1A27" w:rsidRDefault="003E6118" w:rsidP="00555D83">
            <w:pPr>
              <w:rPr>
                <w:rFonts w:ascii="Calibri" w:eastAsia="Times New Roman" w:hAnsi="Calibri" w:cs="Times New Roman"/>
                <w:sz w:val="20"/>
                <w:szCs w:val="20"/>
              </w:rPr>
            </w:pPr>
            <w:r>
              <w:rPr>
                <w:rFonts w:ascii="Calibri" w:eastAsia="Times New Roman" w:hAnsi="Calibri" w:cs="Times New Roman"/>
                <w:sz w:val="20"/>
                <w:szCs w:val="20"/>
              </w:rPr>
              <w:t xml:space="preserve">The </w:t>
            </w:r>
            <w:r w:rsidR="008101E3">
              <w:rPr>
                <w:rFonts w:ascii="Calibri" w:eastAsia="Times New Roman" w:hAnsi="Calibri" w:cs="Times New Roman"/>
                <w:sz w:val="20"/>
                <w:szCs w:val="20"/>
              </w:rPr>
              <w:t xml:space="preserve">tax cuts proposed in the budget are in three stages. </w:t>
            </w:r>
          </w:p>
          <w:p w14:paraId="343BB287" w14:textId="75C5B197" w:rsidR="003E6118" w:rsidRDefault="005F1A27" w:rsidP="00555D83">
            <w:pPr>
              <w:rPr>
                <w:rFonts w:ascii="Calibri" w:eastAsia="Times New Roman" w:hAnsi="Calibri" w:cs="Times New Roman"/>
                <w:sz w:val="20"/>
                <w:szCs w:val="20"/>
              </w:rPr>
            </w:pPr>
            <w:r>
              <w:rPr>
                <w:rFonts w:ascii="Calibri" w:eastAsia="Times New Roman" w:hAnsi="Calibri" w:cs="Times New Roman"/>
                <w:sz w:val="20"/>
                <w:szCs w:val="20"/>
              </w:rPr>
              <w:t xml:space="preserve">Stage 1: </w:t>
            </w:r>
            <w:r w:rsidR="008101E3">
              <w:rPr>
                <w:rFonts w:ascii="Calibri" w:eastAsia="Times New Roman" w:hAnsi="Calibri" w:cs="Times New Roman"/>
                <w:sz w:val="20"/>
                <w:szCs w:val="20"/>
              </w:rPr>
              <w:t>tax cuts of up to $1080 are targeted to middle income earners</w:t>
            </w:r>
            <w:r w:rsidR="006B4637">
              <w:rPr>
                <w:rFonts w:ascii="Calibri" w:eastAsia="Times New Roman" w:hAnsi="Calibri" w:cs="Times New Roman"/>
                <w:sz w:val="20"/>
                <w:szCs w:val="20"/>
              </w:rPr>
              <w:t>. The</w:t>
            </w:r>
            <w:r w:rsidR="008101E3">
              <w:rPr>
                <w:rFonts w:ascii="Calibri" w:eastAsia="Times New Roman" w:hAnsi="Calibri" w:cs="Times New Roman"/>
                <w:sz w:val="20"/>
                <w:szCs w:val="20"/>
              </w:rPr>
              <w:t xml:space="preserve"> </w:t>
            </w:r>
            <w:r w:rsidR="003E6118">
              <w:rPr>
                <w:rFonts w:ascii="Calibri" w:eastAsia="Times New Roman" w:hAnsi="Calibri" w:cs="Times New Roman"/>
                <w:sz w:val="20"/>
                <w:szCs w:val="20"/>
              </w:rPr>
              <w:t>lowest earners will obtain the least benefit</w:t>
            </w:r>
            <w:r w:rsidR="006B4637">
              <w:rPr>
                <w:rFonts w:ascii="Calibri" w:eastAsia="Times New Roman" w:hAnsi="Calibri" w:cs="Times New Roman"/>
                <w:sz w:val="20"/>
                <w:szCs w:val="20"/>
              </w:rPr>
              <w:t xml:space="preserve"> ($255)</w:t>
            </w:r>
            <w:r>
              <w:rPr>
                <w:rFonts w:ascii="Calibri" w:eastAsia="Times New Roman" w:hAnsi="Calibri" w:cs="Times New Roman"/>
                <w:sz w:val="20"/>
                <w:szCs w:val="20"/>
              </w:rPr>
              <w:t>. Families with a combined</w:t>
            </w:r>
            <w:r w:rsidR="003E6118">
              <w:rPr>
                <w:rFonts w:ascii="Calibri" w:eastAsia="Times New Roman" w:hAnsi="Calibri" w:cs="Times New Roman"/>
                <w:sz w:val="20"/>
                <w:szCs w:val="20"/>
              </w:rPr>
              <w:t xml:space="preserve"> in</w:t>
            </w:r>
            <w:r>
              <w:rPr>
                <w:rFonts w:ascii="Calibri" w:eastAsia="Times New Roman" w:hAnsi="Calibri" w:cs="Times New Roman"/>
                <w:sz w:val="20"/>
                <w:szCs w:val="20"/>
              </w:rPr>
              <w:t>come of around $90,000 obtain</w:t>
            </w:r>
            <w:r w:rsidR="003E6118">
              <w:rPr>
                <w:rFonts w:ascii="Calibri" w:eastAsia="Times New Roman" w:hAnsi="Calibri" w:cs="Times New Roman"/>
                <w:sz w:val="20"/>
                <w:szCs w:val="20"/>
              </w:rPr>
              <w:t xml:space="preserve"> the highest tax offset.</w:t>
            </w:r>
          </w:p>
          <w:p w14:paraId="6E165FB2" w14:textId="382B6359" w:rsidR="008101E3" w:rsidRDefault="005F1A27" w:rsidP="00A92915">
            <w:pPr>
              <w:rPr>
                <w:rFonts w:ascii="Calibri" w:eastAsia="Times New Roman" w:hAnsi="Calibri" w:cs="Times New Roman"/>
                <w:sz w:val="20"/>
                <w:szCs w:val="20"/>
              </w:rPr>
            </w:pPr>
            <w:r>
              <w:rPr>
                <w:rFonts w:ascii="Calibri" w:eastAsia="Times New Roman" w:hAnsi="Calibri" w:cs="Times New Roman"/>
                <w:sz w:val="20"/>
                <w:szCs w:val="20"/>
              </w:rPr>
              <w:t>S</w:t>
            </w:r>
            <w:r w:rsidR="008101E3">
              <w:rPr>
                <w:rFonts w:ascii="Calibri" w:eastAsia="Times New Roman" w:hAnsi="Calibri" w:cs="Times New Roman"/>
                <w:sz w:val="20"/>
                <w:szCs w:val="20"/>
              </w:rPr>
              <w:t>tage</w:t>
            </w:r>
            <w:r>
              <w:rPr>
                <w:rFonts w:ascii="Calibri" w:eastAsia="Times New Roman" w:hAnsi="Calibri" w:cs="Times New Roman"/>
                <w:sz w:val="20"/>
                <w:szCs w:val="20"/>
              </w:rPr>
              <w:t xml:space="preserve"> 2:</w:t>
            </w:r>
            <w:r w:rsidR="008101E3">
              <w:rPr>
                <w:rFonts w:ascii="Calibri" w:eastAsia="Times New Roman" w:hAnsi="Calibri" w:cs="Times New Roman"/>
                <w:sz w:val="20"/>
                <w:szCs w:val="20"/>
              </w:rPr>
              <w:t xml:space="preserve"> to be implemented in 2022-23 incre</w:t>
            </w:r>
            <w:r w:rsidR="00A92915">
              <w:rPr>
                <w:rFonts w:ascii="Calibri" w:eastAsia="Times New Roman" w:hAnsi="Calibri" w:cs="Times New Roman"/>
                <w:sz w:val="20"/>
                <w:szCs w:val="20"/>
              </w:rPr>
              <w:t xml:space="preserve">ases the 30% tax threshold and will </w:t>
            </w:r>
            <w:r>
              <w:rPr>
                <w:rFonts w:ascii="Calibri" w:eastAsia="Times New Roman" w:hAnsi="Calibri" w:cs="Times New Roman"/>
                <w:sz w:val="20"/>
                <w:szCs w:val="20"/>
              </w:rPr>
              <w:t xml:space="preserve">not </w:t>
            </w:r>
            <w:r w:rsidR="00A92915">
              <w:rPr>
                <w:rFonts w:ascii="Calibri" w:eastAsia="Times New Roman" w:hAnsi="Calibri" w:cs="Times New Roman"/>
                <w:sz w:val="20"/>
                <w:szCs w:val="20"/>
              </w:rPr>
              <w:t xml:space="preserve">benefit people earning </w:t>
            </w:r>
            <w:r>
              <w:rPr>
                <w:rFonts w:ascii="Calibri" w:eastAsia="Times New Roman" w:hAnsi="Calibri" w:cs="Times New Roman"/>
                <w:sz w:val="20"/>
                <w:szCs w:val="20"/>
              </w:rPr>
              <w:t>less</w:t>
            </w:r>
            <w:r w:rsidR="00A92915">
              <w:rPr>
                <w:rFonts w:ascii="Calibri" w:eastAsia="Times New Roman" w:hAnsi="Calibri" w:cs="Times New Roman"/>
                <w:sz w:val="20"/>
                <w:szCs w:val="20"/>
              </w:rPr>
              <w:t xml:space="preserve"> than $45,000 pa</w:t>
            </w:r>
            <w:r>
              <w:rPr>
                <w:rFonts w:ascii="Calibri" w:eastAsia="Times New Roman" w:hAnsi="Calibri" w:cs="Times New Roman"/>
                <w:sz w:val="20"/>
                <w:szCs w:val="20"/>
              </w:rPr>
              <w:t>.</w:t>
            </w:r>
          </w:p>
          <w:p w14:paraId="45EDDAC5" w14:textId="3290B582" w:rsidR="00A92915" w:rsidRDefault="005F1A27" w:rsidP="00A92915">
            <w:pPr>
              <w:rPr>
                <w:rFonts w:ascii="Calibri" w:eastAsia="Times New Roman" w:hAnsi="Calibri" w:cs="Times New Roman"/>
                <w:sz w:val="20"/>
                <w:szCs w:val="20"/>
              </w:rPr>
            </w:pPr>
            <w:r>
              <w:rPr>
                <w:rFonts w:ascii="Calibri" w:eastAsia="Times New Roman" w:hAnsi="Calibri" w:cs="Times New Roman"/>
                <w:sz w:val="20"/>
                <w:szCs w:val="20"/>
              </w:rPr>
              <w:t>S</w:t>
            </w:r>
            <w:r w:rsidR="00A92915">
              <w:rPr>
                <w:rFonts w:ascii="Calibri" w:eastAsia="Times New Roman" w:hAnsi="Calibri" w:cs="Times New Roman"/>
                <w:sz w:val="20"/>
                <w:szCs w:val="20"/>
              </w:rPr>
              <w:t>tage</w:t>
            </w:r>
            <w:r>
              <w:rPr>
                <w:rFonts w:ascii="Calibri" w:eastAsia="Times New Roman" w:hAnsi="Calibri" w:cs="Times New Roman"/>
                <w:sz w:val="20"/>
                <w:szCs w:val="20"/>
              </w:rPr>
              <w:t xml:space="preserve"> 3</w:t>
            </w:r>
            <w:r w:rsidR="00A92915">
              <w:rPr>
                <w:rFonts w:ascii="Calibri" w:eastAsia="Times New Roman" w:hAnsi="Calibri" w:cs="Times New Roman"/>
                <w:sz w:val="20"/>
                <w:szCs w:val="20"/>
              </w:rPr>
              <w:t>, to be implemented in 2024-25, remove</w:t>
            </w:r>
            <w:r>
              <w:rPr>
                <w:rFonts w:ascii="Calibri" w:eastAsia="Times New Roman" w:hAnsi="Calibri" w:cs="Times New Roman"/>
                <w:sz w:val="20"/>
                <w:szCs w:val="20"/>
              </w:rPr>
              <w:t>s</w:t>
            </w:r>
            <w:r w:rsidR="00A92915">
              <w:rPr>
                <w:rFonts w:ascii="Calibri" w:eastAsia="Times New Roman" w:hAnsi="Calibri" w:cs="Times New Roman"/>
                <w:sz w:val="20"/>
                <w:szCs w:val="20"/>
              </w:rPr>
              <w:t xml:space="preserve"> the 32.5% tax rate and will benefit people earning more than $41,000. </w:t>
            </w:r>
          </w:p>
          <w:p w14:paraId="122A0441" w14:textId="77777777" w:rsidR="00A92915" w:rsidRDefault="00A92915" w:rsidP="005F1A27">
            <w:pPr>
              <w:rPr>
                <w:rFonts w:ascii="Calibri" w:eastAsia="Times New Roman" w:hAnsi="Calibri" w:cs="Times New Roman"/>
                <w:sz w:val="20"/>
                <w:szCs w:val="20"/>
              </w:rPr>
            </w:pPr>
            <w:r>
              <w:rPr>
                <w:rFonts w:ascii="Calibri" w:eastAsia="Times New Roman" w:hAnsi="Calibri" w:cs="Times New Roman"/>
                <w:sz w:val="20"/>
                <w:szCs w:val="20"/>
              </w:rPr>
              <w:t>The 2</w:t>
            </w:r>
            <w:r w:rsidRPr="00A92915">
              <w:rPr>
                <w:rFonts w:ascii="Calibri" w:eastAsia="Times New Roman" w:hAnsi="Calibri" w:cs="Times New Roman"/>
                <w:sz w:val="20"/>
                <w:szCs w:val="20"/>
                <w:vertAlign w:val="superscript"/>
              </w:rPr>
              <w:t>nd</w:t>
            </w:r>
            <w:r>
              <w:rPr>
                <w:rFonts w:ascii="Calibri" w:eastAsia="Times New Roman" w:hAnsi="Calibri" w:cs="Times New Roman"/>
                <w:sz w:val="20"/>
                <w:szCs w:val="20"/>
              </w:rPr>
              <w:t xml:space="preserve"> and 3</w:t>
            </w:r>
            <w:r w:rsidRPr="00A92915">
              <w:rPr>
                <w:rFonts w:ascii="Calibri" w:eastAsia="Times New Roman" w:hAnsi="Calibri" w:cs="Times New Roman"/>
                <w:sz w:val="20"/>
                <w:szCs w:val="20"/>
                <w:vertAlign w:val="superscript"/>
              </w:rPr>
              <w:t>rd</w:t>
            </w:r>
            <w:r>
              <w:rPr>
                <w:rFonts w:ascii="Calibri" w:eastAsia="Times New Roman" w:hAnsi="Calibri" w:cs="Times New Roman"/>
                <w:sz w:val="20"/>
                <w:szCs w:val="20"/>
              </w:rPr>
              <w:t xml:space="preserve"> stage </w:t>
            </w:r>
            <w:r w:rsidR="005F1A27">
              <w:rPr>
                <w:rFonts w:ascii="Calibri" w:eastAsia="Times New Roman" w:hAnsi="Calibri" w:cs="Times New Roman"/>
                <w:sz w:val="20"/>
                <w:szCs w:val="20"/>
              </w:rPr>
              <w:t xml:space="preserve">tax cuts </w:t>
            </w:r>
            <w:r>
              <w:rPr>
                <w:rFonts w:ascii="Calibri" w:eastAsia="Times New Roman" w:hAnsi="Calibri" w:cs="Times New Roman"/>
                <w:sz w:val="20"/>
                <w:szCs w:val="20"/>
              </w:rPr>
              <w:t xml:space="preserve">will go to high income earners: in 2024-25 a person earning $180,000 will receive a tax cut of $8,640 compared to $580 for a person earning $40,000. </w:t>
            </w:r>
          </w:p>
          <w:p w14:paraId="3BDA580E" w14:textId="0339B0AA" w:rsidR="003B0225" w:rsidRPr="008101E3" w:rsidRDefault="003B0225" w:rsidP="008A78AE">
            <w:pPr>
              <w:rPr>
                <w:rFonts w:ascii="Calibri" w:eastAsia="Times New Roman" w:hAnsi="Calibri" w:cs="Times New Roman"/>
                <w:sz w:val="20"/>
                <w:szCs w:val="20"/>
              </w:rPr>
            </w:pPr>
            <w:r w:rsidRPr="00235F8B">
              <w:rPr>
                <w:rFonts w:ascii="Calibri" w:eastAsia="Times New Roman" w:hAnsi="Calibri" w:cs="Times New Roman"/>
                <w:sz w:val="20"/>
                <w:szCs w:val="20"/>
              </w:rPr>
              <w:t xml:space="preserve">The interaction of income tax and </w:t>
            </w:r>
            <w:r w:rsidRPr="00235F8B">
              <w:rPr>
                <w:rFonts w:ascii="Calibri" w:eastAsia="Times New Roman" w:hAnsi="Calibri" w:cs="Calibri"/>
                <w:sz w:val="20"/>
                <w:szCs w:val="20"/>
                <w:lang w:eastAsia="en-GB"/>
              </w:rPr>
              <w:t xml:space="preserve">transfer payments, including child care subsidies and family tax benefits, result in a high effective marginal tax rate for low to middle income working parents.  </w:t>
            </w:r>
          </w:p>
        </w:tc>
        <w:tc>
          <w:tcPr>
            <w:tcW w:w="3117" w:type="dxa"/>
            <w:shd w:val="clear" w:color="auto" w:fill="F9B268" w:themeFill="accent1" w:themeFillTint="99"/>
          </w:tcPr>
          <w:p w14:paraId="4270E84D" w14:textId="69719492" w:rsidR="003E6118" w:rsidRPr="00A92915" w:rsidRDefault="00A92915" w:rsidP="00555D83">
            <w:pPr>
              <w:rPr>
                <w:rFonts w:ascii="Calibri" w:eastAsia="Times New Roman" w:hAnsi="Calibri" w:cs="Calibri"/>
                <w:sz w:val="20"/>
                <w:szCs w:val="20"/>
                <w:lang w:eastAsia="en-GB"/>
              </w:rPr>
            </w:pPr>
            <w:r w:rsidRPr="00A92915">
              <w:rPr>
                <w:rFonts w:ascii="Calibri" w:eastAsia="Times New Roman" w:hAnsi="Calibri" w:cs="Calibri"/>
                <w:sz w:val="20"/>
                <w:szCs w:val="20"/>
                <w:lang w:eastAsia="en-GB"/>
              </w:rPr>
              <w:t>The Greens will reverse the tax cuts already legislated (stage 2 cuts) and will oppose further tax cuts to the companies earning more than $10m pa and the wealthiest Australians</w:t>
            </w:r>
          </w:p>
        </w:tc>
      </w:tr>
      <w:tr w:rsidR="002D673D" w:rsidRPr="00502A64" w14:paraId="56EA6B7B" w14:textId="77777777" w:rsidTr="004F716A">
        <w:trPr>
          <w:trHeight w:val="247"/>
        </w:trPr>
        <w:tc>
          <w:tcPr>
            <w:tcW w:w="3116" w:type="dxa"/>
            <w:shd w:val="clear" w:color="auto" w:fill="F9B268" w:themeFill="accent1" w:themeFillTint="99"/>
          </w:tcPr>
          <w:p w14:paraId="32CE71EB" w14:textId="40B1A618" w:rsidR="002D673D" w:rsidRPr="006B4637" w:rsidRDefault="002D673D" w:rsidP="002D673D">
            <w:pPr>
              <w:rPr>
                <w:rFonts w:ascii="Calibri" w:eastAsia="Times New Roman" w:hAnsi="Calibri" w:cs="Calibri"/>
                <w:sz w:val="20"/>
                <w:szCs w:val="20"/>
                <w:lang w:eastAsia="en-GB"/>
              </w:rPr>
            </w:pPr>
            <w:r>
              <w:rPr>
                <w:rFonts w:ascii="Calibri" w:eastAsia="Times New Roman" w:hAnsi="Calibri" w:cs="Calibri"/>
                <w:sz w:val="20"/>
                <w:szCs w:val="20"/>
                <w:lang w:eastAsia="en-GB"/>
              </w:rPr>
              <w:t>Family Trust Distributions will be taxed at a flat rate of 30%</w:t>
            </w:r>
          </w:p>
        </w:tc>
        <w:tc>
          <w:tcPr>
            <w:tcW w:w="3117" w:type="dxa"/>
            <w:shd w:val="clear" w:color="auto" w:fill="FFFFFF" w:themeFill="background1"/>
          </w:tcPr>
          <w:p w14:paraId="34F50AE1" w14:textId="77777777" w:rsidR="002D673D" w:rsidRDefault="002D673D" w:rsidP="00555D83">
            <w:pPr>
              <w:rPr>
                <w:rFonts w:ascii="Calibri" w:eastAsia="Times New Roman" w:hAnsi="Calibri" w:cs="Times New Roman"/>
                <w:sz w:val="20"/>
                <w:szCs w:val="20"/>
              </w:rPr>
            </w:pPr>
          </w:p>
        </w:tc>
        <w:tc>
          <w:tcPr>
            <w:tcW w:w="3117" w:type="dxa"/>
            <w:shd w:val="clear" w:color="auto" w:fill="FDE5CC" w:themeFill="accent1" w:themeFillTint="33"/>
          </w:tcPr>
          <w:p w14:paraId="37AF30A8" w14:textId="3AD50AF3" w:rsidR="002D673D" w:rsidRPr="00A92915" w:rsidRDefault="004F716A" w:rsidP="004F716A">
            <w:pPr>
              <w:rPr>
                <w:rFonts w:ascii="Calibri" w:eastAsia="Times New Roman" w:hAnsi="Calibri" w:cs="Calibri"/>
                <w:sz w:val="20"/>
                <w:szCs w:val="20"/>
                <w:lang w:eastAsia="en-GB"/>
              </w:rPr>
            </w:pPr>
            <w:r>
              <w:rPr>
                <w:rFonts w:ascii="Calibri" w:eastAsia="Times New Roman" w:hAnsi="Calibri" w:cs="Calibri"/>
                <w:sz w:val="20"/>
                <w:szCs w:val="20"/>
                <w:lang w:eastAsia="en-GB"/>
              </w:rPr>
              <w:t>Will introduce a crackdown on family trusts and a Buffett Rule to impose a minimum tax rate</w:t>
            </w:r>
          </w:p>
        </w:tc>
      </w:tr>
      <w:tr w:rsidR="004F716A" w:rsidRPr="00502A64" w14:paraId="74618746" w14:textId="77777777" w:rsidTr="004F716A">
        <w:trPr>
          <w:trHeight w:val="247"/>
        </w:trPr>
        <w:tc>
          <w:tcPr>
            <w:tcW w:w="3116" w:type="dxa"/>
            <w:shd w:val="clear" w:color="auto" w:fill="F9B268" w:themeFill="accent1" w:themeFillTint="99"/>
          </w:tcPr>
          <w:p w14:paraId="554389C1" w14:textId="14A011F8" w:rsidR="00F36F7F" w:rsidRDefault="00F36F7F" w:rsidP="002D673D">
            <w:pPr>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Refer to separate election paper on negative gearing.</w:t>
            </w:r>
          </w:p>
          <w:p w14:paraId="130CC44C" w14:textId="080F6CEE" w:rsidR="004F716A" w:rsidRDefault="00F36F7F" w:rsidP="002D673D">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2016 Federal Election Policy restated: </w:t>
            </w:r>
            <w:r w:rsidR="004F716A">
              <w:rPr>
                <w:rFonts w:ascii="Calibri" w:eastAsia="Times New Roman" w:hAnsi="Calibri" w:cs="Calibri"/>
                <w:sz w:val="20"/>
                <w:szCs w:val="20"/>
                <w:lang w:eastAsia="en-GB"/>
              </w:rPr>
              <w:t>Negative gearing on residential rental housing will be limited to properties already owned at 1/1/2020  or properties built new for the rental market</w:t>
            </w:r>
          </w:p>
        </w:tc>
        <w:tc>
          <w:tcPr>
            <w:tcW w:w="3117" w:type="dxa"/>
            <w:shd w:val="clear" w:color="auto" w:fill="FFFFFF" w:themeFill="background1"/>
          </w:tcPr>
          <w:p w14:paraId="6BD3507A" w14:textId="22F65B4D" w:rsidR="004F716A" w:rsidRDefault="004F716A" w:rsidP="00555D83">
            <w:pPr>
              <w:rPr>
                <w:rFonts w:ascii="Calibri" w:eastAsia="Times New Roman" w:hAnsi="Calibri" w:cs="Times New Roman"/>
                <w:sz w:val="20"/>
                <w:szCs w:val="20"/>
              </w:rPr>
            </w:pPr>
            <w:r>
              <w:rPr>
                <w:rFonts w:ascii="Calibri" w:eastAsia="Times New Roman" w:hAnsi="Calibri" w:cs="Times New Roman"/>
                <w:sz w:val="20"/>
                <w:szCs w:val="20"/>
              </w:rPr>
              <w:t>Reject changes to negative gearing</w:t>
            </w:r>
          </w:p>
        </w:tc>
        <w:tc>
          <w:tcPr>
            <w:tcW w:w="3117" w:type="dxa"/>
            <w:shd w:val="clear" w:color="auto" w:fill="F9B268" w:themeFill="accent1" w:themeFillTint="99"/>
          </w:tcPr>
          <w:p w14:paraId="5D1E0543" w14:textId="77777777" w:rsidR="004F716A" w:rsidRDefault="004F716A" w:rsidP="004F716A">
            <w:pPr>
              <w:rPr>
                <w:rFonts w:ascii="Calibri" w:eastAsia="Times New Roman" w:hAnsi="Calibri" w:cs="Calibri"/>
                <w:sz w:val="20"/>
                <w:szCs w:val="20"/>
                <w:lang w:eastAsia="en-GB"/>
              </w:rPr>
            </w:pPr>
            <w:r>
              <w:rPr>
                <w:rFonts w:ascii="Calibri" w:eastAsia="Times New Roman" w:hAnsi="Calibri" w:cs="Calibri"/>
                <w:sz w:val="20"/>
                <w:szCs w:val="20"/>
                <w:lang w:eastAsia="en-GB"/>
              </w:rPr>
              <w:t>Will immediately end negative gearing for investors with more than two rental properties</w:t>
            </w:r>
          </w:p>
          <w:p w14:paraId="24C3535B" w14:textId="626F9A13" w:rsidR="004F716A" w:rsidRDefault="00F36F7F" w:rsidP="004F716A">
            <w:pPr>
              <w:rPr>
                <w:rFonts w:ascii="Calibri" w:eastAsia="Times New Roman" w:hAnsi="Calibri" w:cs="Calibri"/>
                <w:sz w:val="20"/>
                <w:szCs w:val="20"/>
                <w:lang w:eastAsia="en-GB"/>
              </w:rPr>
            </w:pPr>
            <w:r>
              <w:rPr>
                <w:rFonts w:ascii="Calibri" w:eastAsia="Times New Roman" w:hAnsi="Calibri" w:cs="Calibri"/>
                <w:sz w:val="20"/>
                <w:szCs w:val="20"/>
                <w:lang w:eastAsia="en-GB"/>
              </w:rPr>
              <w:t>Will end negative gearing for investors on future house sales</w:t>
            </w:r>
          </w:p>
        </w:tc>
      </w:tr>
      <w:tr w:rsidR="00F36F7F" w:rsidRPr="00502A64" w14:paraId="790115F7" w14:textId="77777777" w:rsidTr="00F36F7F">
        <w:trPr>
          <w:trHeight w:val="247"/>
        </w:trPr>
        <w:tc>
          <w:tcPr>
            <w:tcW w:w="3116" w:type="dxa"/>
            <w:shd w:val="clear" w:color="auto" w:fill="F9B268" w:themeFill="accent1" w:themeFillTint="99"/>
          </w:tcPr>
          <w:p w14:paraId="5BDE0626" w14:textId="3B0A0B1F" w:rsidR="00F36F7F" w:rsidRDefault="00F36F7F" w:rsidP="00F36F7F">
            <w:pPr>
              <w:rPr>
                <w:rFonts w:ascii="Calibri" w:eastAsia="Times New Roman" w:hAnsi="Calibri" w:cs="Calibri"/>
                <w:sz w:val="20"/>
                <w:szCs w:val="20"/>
                <w:lang w:eastAsia="en-GB"/>
              </w:rPr>
            </w:pPr>
            <w:r>
              <w:rPr>
                <w:rFonts w:ascii="Calibri" w:eastAsia="Times New Roman" w:hAnsi="Calibri" w:cs="Calibri"/>
                <w:sz w:val="20"/>
                <w:szCs w:val="20"/>
                <w:lang w:eastAsia="en-GB"/>
              </w:rPr>
              <w:t>Refer to separate election paper on negative gearing</w:t>
            </w:r>
          </w:p>
          <w:p w14:paraId="7C850BE6" w14:textId="68C10033" w:rsidR="00F36F7F" w:rsidRDefault="00F36F7F" w:rsidP="00F36F7F">
            <w:pPr>
              <w:rPr>
                <w:rFonts w:ascii="Calibri" w:eastAsia="Times New Roman" w:hAnsi="Calibri" w:cs="Calibri"/>
                <w:sz w:val="20"/>
                <w:szCs w:val="20"/>
                <w:lang w:eastAsia="en-GB"/>
              </w:rPr>
            </w:pPr>
            <w:r>
              <w:rPr>
                <w:rFonts w:ascii="Calibri" w:eastAsia="Times New Roman" w:hAnsi="Calibri" w:cs="Calibri"/>
                <w:sz w:val="20"/>
                <w:szCs w:val="20"/>
                <w:lang w:eastAsia="en-GB"/>
              </w:rPr>
              <w:t>2016 Federal Election Policy restated: The capital gains tax discount will be cut from 50% to 25%, so that ¾ of capital gains on investment assets will be taxed.</w:t>
            </w:r>
          </w:p>
        </w:tc>
        <w:tc>
          <w:tcPr>
            <w:tcW w:w="3117" w:type="dxa"/>
            <w:shd w:val="clear" w:color="auto" w:fill="FFFFFF" w:themeFill="background1"/>
          </w:tcPr>
          <w:p w14:paraId="17266DEB" w14:textId="18983844" w:rsidR="00F36F7F" w:rsidRDefault="00F36F7F" w:rsidP="00555D83">
            <w:pPr>
              <w:rPr>
                <w:rFonts w:ascii="Calibri" w:eastAsia="Times New Roman" w:hAnsi="Calibri" w:cs="Times New Roman"/>
                <w:sz w:val="20"/>
                <w:szCs w:val="20"/>
              </w:rPr>
            </w:pPr>
          </w:p>
        </w:tc>
        <w:tc>
          <w:tcPr>
            <w:tcW w:w="3117" w:type="dxa"/>
            <w:shd w:val="clear" w:color="auto" w:fill="FDE5CC" w:themeFill="accent1" w:themeFillTint="33"/>
          </w:tcPr>
          <w:p w14:paraId="3853917C" w14:textId="64AC3201" w:rsidR="00F36F7F" w:rsidRDefault="00F36F7F" w:rsidP="004F716A">
            <w:pPr>
              <w:rPr>
                <w:rFonts w:ascii="Calibri" w:eastAsia="Times New Roman" w:hAnsi="Calibri" w:cs="Calibri"/>
                <w:sz w:val="20"/>
                <w:szCs w:val="20"/>
                <w:lang w:eastAsia="en-GB"/>
              </w:rPr>
            </w:pPr>
            <w:r>
              <w:rPr>
                <w:rFonts w:ascii="Calibri" w:eastAsia="Times New Roman" w:hAnsi="Calibri" w:cs="Calibri"/>
                <w:sz w:val="20"/>
                <w:szCs w:val="20"/>
                <w:lang w:eastAsia="en-GB"/>
              </w:rPr>
              <w:t>2016 Federal Election Policy restated: The capital gains tax discount will be phased out over five years at 10% per annum</w:t>
            </w:r>
          </w:p>
        </w:tc>
      </w:tr>
      <w:tr w:rsidR="003E6118" w:rsidRPr="00502A64" w14:paraId="23D30323" w14:textId="77777777" w:rsidTr="00555D83">
        <w:tc>
          <w:tcPr>
            <w:tcW w:w="9350" w:type="dxa"/>
            <w:gridSpan w:val="3"/>
            <w:shd w:val="clear" w:color="auto" w:fill="ED7D31"/>
          </w:tcPr>
          <w:p w14:paraId="32207FC9" w14:textId="50EE923B" w:rsidR="003E6118" w:rsidRPr="00502A64" w:rsidRDefault="003E6118"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3E6118" w:rsidRPr="00502A64" w14:paraId="423F94D7" w14:textId="77777777" w:rsidTr="00555D83">
        <w:tc>
          <w:tcPr>
            <w:tcW w:w="9350" w:type="dxa"/>
            <w:gridSpan w:val="3"/>
          </w:tcPr>
          <w:p w14:paraId="712C0EC5" w14:textId="42775983" w:rsidR="003E6118" w:rsidRPr="00502A64" w:rsidRDefault="00365956" w:rsidP="00555D83">
            <w:pPr>
              <w:rPr>
                <w:rFonts w:cstheme="minorHAnsi"/>
                <w:sz w:val="20"/>
                <w:szCs w:val="20"/>
              </w:rPr>
            </w:pPr>
            <w:r w:rsidRPr="008E06A4">
              <w:rPr>
                <w:rFonts w:ascii="Calibri" w:eastAsia="Times New Roman" w:hAnsi="Calibri" w:cs="Times New Roman"/>
                <w:sz w:val="20"/>
                <w:szCs w:val="20"/>
                <w:lang w:val="en-US"/>
              </w:rPr>
              <w:t xml:space="preserve">NFAW recommends that tax offsets for </w:t>
            </w:r>
            <w:r w:rsidR="00000881" w:rsidRPr="008E06A4">
              <w:rPr>
                <w:rFonts w:ascii="Calibri" w:eastAsia="Times New Roman" w:hAnsi="Calibri" w:cs="Times New Roman"/>
                <w:sz w:val="20"/>
                <w:szCs w:val="20"/>
                <w:lang w:val="en-US"/>
              </w:rPr>
              <w:t>low- and middle-income</w:t>
            </w:r>
            <w:r w:rsidRPr="008E06A4">
              <w:rPr>
                <w:rFonts w:ascii="Calibri" w:eastAsia="Times New Roman" w:hAnsi="Calibri" w:cs="Times New Roman"/>
                <w:sz w:val="20"/>
                <w:szCs w:val="20"/>
                <w:lang w:val="en-US"/>
              </w:rPr>
              <w:t xml:space="preserve"> earners be converted to a transfer payment available in conjunction with other payments, instead of being delivered through the tax system.</w:t>
            </w:r>
          </w:p>
        </w:tc>
      </w:tr>
      <w:tr w:rsidR="003E6118" w:rsidRPr="00502A64" w14:paraId="08545879" w14:textId="77777777" w:rsidTr="00555D83">
        <w:trPr>
          <w:trHeight w:val="248"/>
        </w:trPr>
        <w:tc>
          <w:tcPr>
            <w:tcW w:w="9350" w:type="dxa"/>
            <w:gridSpan w:val="3"/>
            <w:shd w:val="clear" w:color="auto" w:fill="FDE5CC" w:themeFill="accent1" w:themeFillTint="33"/>
          </w:tcPr>
          <w:p w14:paraId="1C3DC251"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E6118" w:rsidRPr="00502A64" w14:paraId="2F8C448F" w14:textId="77777777" w:rsidTr="00A25633">
        <w:trPr>
          <w:trHeight w:val="248"/>
        </w:trPr>
        <w:tc>
          <w:tcPr>
            <w:tcW w:w="3116" w:type="dxa"/>
            <w:shd w:val="clear" w:color="auto" w:fill="auto"/>
          </w:tcPr>
          <w:p w14:paraId="26D2D288"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0E36435"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E87EC98"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E6118" w:rsidRPr="00502A64" w14:paraId="50A37290" w14:textId="77777777" w:rsidTr="00A25633">
        <w:trPr>
          <w:trHeight w:val="247"/>
        </w:trPr>
        <w:tc>
          <w:tcPr>
            <w:tcW w:w="3116" w:type="dxa"/>
            <w:shd w:val="clear" w:color="auto" w:fill="auto"/>
          </w:tcPr>
          <w:p w14:paraId="332EEFEA" w14:textId="3359A93D" w:rsidR="003E6118" w:rsidRPr="00A25633" w:rsidRDefault="001808E6" w:rsidP="00A25633">
            <w:pPr>
              <w:rPr>
                <w:rFonts w:ascii="Calibri" w:eastAsia="Times New Roman" w:hAnsi="Calibri" w:cs="Calibri"/>
                <w:sz w:val="20"/>
                <w:szCs w:val="20"/>
                <w:lang w:eastAsia="en-GB"/>
              </w:rPr>
            </w:pPr>
            <w:r w:rsidRPr="00A25633">
              <w:rPr>
                <w:rFonts w:ascii="Calibri" w:eastAsia="Times New Roman" w:hAnsi="Calibri" w:cs="Calibri"/>
                <w:sz w:val="20"/>
                <w:szCs w:val="20"/>
                <w:lang w:eastAsia="en-GB"/>
              </w:rPr>
              <w:t>Proposals will continue to be delivered through the tax system and limited to taxpayers</w:t>
            </w:r>
          </w:p>
          <w:p w14:paraId="2AB6AA8E" w14:textId="77777777" w:rsidR="003E6118" w:rsidRPr="00A25633" w:rsidRDefault="003E6118" w:rsidP="00A25633">
            <w:pPr>
              <w:rPr>
                <w:rFonts w:ascii="Calibri" w:eastAsia="Times New Roman" w:hAnsi="Calibri" w:cs="Calibri"/>
                <w:sz w:val="20"/>
                <w:szCs w:val="20"/>
                <w:lang w:eastAsia="en-GB"/>
              </w:rPr>
            </w:pPr>
          </w:p>
          <w:p w14:paraId="3CB9D0CE" w14:textId="77777777" w:rsidR="003E6118" w:rsidRPr="00A25633" w:rsidRDefault="003E6118" w:rsidP="00A25633">
            <w:pPr>
              <w:rPr>
                <w:rFonts w:ascii="Calibri" w:eastAsia="Times New Roman" w:hAnsi="Calibri" w:cs="Calibri"/>
                <w:sz w:val="20"/>
                <w:szCs w:val="20"/>
                <w:lang w:eastAsia="en-GB"/>
              </w:rPr>
            </w:pPr>
          </w:p>
          <w:p w14:paraId="3F8C4E68" w14:textId="77777777" w:rsidR="003E6118" w:rsidRPr="00A25633" w:rsidRDefault="003E6118" w:rsidP="00A25633">
            <w:pPr>
              <w:rPr>
                <w:rFonts w:ascii="Calibri" w:eastAsia="Times New Roman" w:hAnsi="Calibri" w:cs="Calibri"/>
                <w:sz w:val="20"/>
                <w:szCs w:val="20"/>
                <w:lang w:eastAsia="en-GB"/>
              </w:rPr>
            </w:pPr>
          </w:p>
          <w:p w14:paraId="04A8CC98" w14:textId="77777777" w:rsidR="003E6118" w:rsidRPr="00A25633" w:rsidRDefault="003E6118" w:rsidP="00A25633">
            <w:pPr>
              <w:rPr>
                <w:rFonts w:ascii="Calibri" w:eastAsia="Times New Roman" w:hAnsi="Calibri" w:cs="Calibri"/>
                <w:sz w:val="20"/>
                <w:szCs w:val="20"/>
                <w:lang w:eastAsia="en-GB"/>
              </w:rPr>
            </w:pPr>
          </w:p>
        </w:tc>
        <w:tc>
          <w:tcPr>
            <w:tcW w:w="3117" w:type="dxa"/>
            <w:shd w:val="clear" w:color="auto" w:fill="FFFFFF" w:themeFill="background1"/>
          </w:tcPr>
          <w:p w14:paraId="5ABD8A68" w14:textId="6CF70443" w:rsidR="003E6118" w:rsidRPr="00502A64" w:rsidRDefault="00365956" w:rsidP="00555D83">
            <w:pPr>
              <w:rPr>
                <w:rFonts w:ascii="Calibri" w:eastAsia="Times New Roman" w:hAnsi="Calibri" w:cs="Calibri"/>
                <w:b/>
                <w:sz w:val="20"/>
                <w:szCs w:val="20"/>
                <w:lang w:eastAsia="en-GB"/>
              </w:rPr>
            </w:pPr>
            <w:r>
              <w:rPr>
                <w:rFonts w:ascii="Calibri" w:eastAsia="Times New Roman" w:hAnsi="Calibri" w:cs="Times New Roman"/>
                <w:sz w:val="20"/>
                <w:szCs w:val="20"/>
              </w:rPr>
              <w:t>The budget proposal extends the existing non-refundable tax offset which is only claimable by taxpayers.</w:t>
            </w:r>
          </w:p>
        </w:tc>
        <w:tc>
          <w:tcPr>
            <w:tcW w:w="3117" w:type="dxa"/>
            <w:shd w:val="clear" w:color="auto" w:fill="FFFFFF" w:themeFill="background1"/>
          </w:tcPr>
          <w:p w14:paraId="3473918C" w14:textId="77777777" w:rsidR="003E6118" w:rsidRPr="00502A64" w:rsidRDefault="003E6118" w:rsidP="00555D83">
            <w:pPr>
              <w:rPr>
                <w:rFonts w:ascii="Calibri" w:eastAsia="Times New Roman" w:hAnsi="Calibri" w:cs="Calibri"/>
                <w:b/>
                <w:sz w:val="20"/>
                <w:szCs w:val="20"/>
                <w:lang w:eastAsia="en-GB"/>
              </w:rPr>
            </w:pPr>
          </w:p>
        </w:tc>
      </w:tr>
      <w:bookmarkEnd w:id="0"/>
      <w:tr w:rsidR="003E6118" w:rsidRPr="00502A64" w14:paraId="1CF3FB81" w14:textId="77777777" w:rsidTr="00555D83">
        <w:tc>
          <w:tcPr>
            <w:tcW w:w="9350" w:type="dxa"/>
            <w:gridSpan w:val="3"/>
            <w:shd w:val="clear" w:color="auto" w:fill="ED7D31"/>
          </w:tcPr>
          <w:p w14:paraId="296EDBD3" w14:textId="77777777" w:rsidR="003E6118" w:rsidRPr="00502A64" w:rsidRDefault="003E6118"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E6118" w:rsidRPr="00502A64" w14:paraId="5BF6464C" w14:textId="77777777" w:rsidTr="00555D83">
        <w:tc>
          <w:tcPr>
            <w:tcW w:w="9350" w:type="dxa"/>
            <w:gridSpan w:val="3"/>
          </w:tcPr>
          <w:p w14:paraId="57045323" w14:textId="76323773" w:rsidR="003E6118" w:rsidRPr="00502A64" w:rsidRDefault="00365956" w:rsidP="00555D83">
            <w:pPr>
              <w:rPr>
                <w:rFonts w:ascii="Calibri" w:eastAsia="Times New Roman" w:hAnsi="Calibri" w:cs="Calibri"/>
                <w:b/>
                <w:sz w:val="20"/>
                <w:szCs w:val="20"/>
                <w:lang w:eastAsia="en-GB"/>
              </w:rPr>
            </w:pPr>
            <w:r w:rsidRPr="00FF25D0">
              <w:rPr>
                <w:rFonts w:ascii="Calibri" w:eastAsia="Times New Roman" w:hAnsi="Calibri" w:cs="Times New Roman"/>
                <w:sz w:val="20"/>
                <w:szCs w:val="20"/>
                <w:lang w:val="en-US"/>
              </w:rPr>
              <w:t>If retained in the tax system, tax offsets based on income levels should be delivered through the PAYG system rather than as an annual lump sum rebate.</w:t>
            </w:r>
          </w:p>
        </w:tc>
      </w:tr>
      <w:tr w:rsidR="003E6118" w:rsidRPr="00502A64" w14:paraId="4CCB8386" w14:textId="77777777" w:rsidTr="00555D83">
        <w:trPr>
          <w:trHeight w:val="248"/>
        </w:trPr>
        <w:tc>
          <w:tcPr>
            <w:tcW w:w="9350" w:type="dxa"/>
            <w:gridSpan w:val="3"/>
            <w:shd w:val="clear" w:color="auto" w:fill="FDE5CC" w:themeFill="accent1" w:themeFillTint="33"/>
          </w:tcPr>
          <w:p w14:paraId="11F3B09F"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E6118" w:rsidRPr="00502A64" w14:paraId="2C942B04" w14:textId="77777777" w:rsidTr="00555D83">
        <w:trPr>
          <w:trHeight w:val="248"/>
        </w:trPr>
        <w:tc>
          <w:tcPr>
            <w:tcW w:w="3116" w:type="dxa"/>
            <w:shd w:val="clear" w:color="auto" w:fill="FFFFFF" w:themeFill="background1"/>
          </w:tcPr>
          <w:p w14:paraId="36819BA0"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53C0AD7"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B78990C"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E6118" w:rsidRPr="00502A64" w14:paraId="02631EDE" w14:textId="77777777" w:rsidTr="001808E6">
        <w:trPr>
          <w:trHeight w:val="247"/>
        </w:trPr>
        <w:tc>
          <w:tcPr>
            <w:tcW w:w="3116" w:type="dxa"/>
            <w:shd w:val="clear" w:color="auto" w:fill="FFFFFF" w:themeFill="background1"/>
          </w:tcPr>
          <w:p w14:paraId="4B430122" w14:textId="77777777" w:rsidR="003E6118" w:rsidRPr="00502A64" w:rsidRDefault="003E6118" w:rsidP="00555D83">
            <w:pPr>
              <w:rPr>
                <w:rFonts w:ascii="Calibri" w:eastAsia="Times New Roman" w:hAnsi="Calibri" w:cs="Calibri"/>
                <w:b/>
                <w:sz w:val="20"/>
                <w:szCs w:val="20"/>
                <w:lang w:eastAsia="en-GB"/>
              </w:rPr>
            </w:pPr>
          </w:p>
          <w:p w14:paraId="648F5688" w14:textId="77777777" w:rsidR="003E6118" w:rsidRPr="00502A64" w:rsidRDefault="003E6118" w:rsidP="00555D83">
            <w:pPr>
              <w:rPr>
                <w:rFonts w:ascii="Calibri" w:eastAsia="Times New Roman" w:hAnsi="Calibri" w:cs="Calibri"/>
                <w:b/>
                <w:sz w:val="20"/>
                <w:szCs w:val="20"/>
                <w:lang w:eastAsia="en-GB"/>
              </w:rPr>
            </w:pPr>
          </w:p>
          <w:p w14:paraId="69F78FCC" w14:textId="77777777" w:rsidR="003E6118" w:rsidRPr="00502A64" w:rsidRDefault="003E6118" w:rsidP="00555D83">
            <w:pPr>
              <w:rPr>
                <w:rFonts w:ascii="Calibri" w:eastAsia="Times New Roman" w:hAnsi="Calibri" w:cs="Calibri"/>
                <w:b/>
                <w:sz w:val="20"/>
                <w:szCs w:val="20"/>
                <w:lang w:eastAsia="en-GB"/>
              </w:rPr>
            </w:pPr>
          </w:p>
        </w:tc>
        <w:tc>
          <w:tcPr>
            <w:tcW w:w="3117" w:type="dxa"/>
            <w:shd w:val="clear" w:color="auto" w:fill="FFFFFF" w:themeFill="background1"/>
          </w:tcPr>
          <w:p w14:paraId="595470A1" w14:textId="09462167" w:rsidR="003E6118" w:rsidRPr="00502A64" w:rsidRDefault="00365956" w:rsidP="00555D83">
            <w:pPr>
              <w:rPr>
                <w:rFonts w:ascii="Calibri" w:eastAsia="Times New Roman" w:hAnsi="Calibri" w:cs="Calibri"/>
                <w:b/>
                <w:sz w:val="20"/>
                <w:szCs w:val="20"/>
                <w:lang w:eastAsia="en-GB"/>
              </w:rPr>
            </w:pPr>
            <w:r>
              <w:rPr>
                <w:rFonts w:ascii="Calibri" w:eastAsia="Times New Roman" w:hAnsi="Calibri" w:cs="Times New Roman"/>
                <w:sz w:val="20"/>
                <w:szCs w:val="20"/>
              </w:rPr>
              <w:t>The budget has retained the design feature of only allowing the tax offset to be claimed when a tax return has been lodged. Although this will create an economic stimulus effect in the first part of the new fiscal year, it does not match the expenditure patterns of families trying to meet increased costs of living.</w:t>
            </w:r>
          </w:p>
        </w:tc>
        <w:tc>
          <w:tcPr>
            <w:tcW w:w="3117" w:type="dxa"/>
            <w:shd w:val="clear" w:color="auto" w:fill="FFFFFF" w:themeFill="background1"/>
          </w:tcPr>
          <w:p w14:paraId="1771C36E" w14:textId="77777777" w:rsidR="003E6118" w:rsidRPr="00502A64" w:rsidRDefault="003E6118" w:rsidP="00555D83">
            <w:pPr>
              <w:rPr>
                <w:rFonts w:ascii="Calibri" w:eastAsia="Times New Roman" w:hAnsi="Calibri" w:cs="Calibri"/>
                <w:b/>
                <w:sz w:val="20"/>
                <w:szCs w:val="20"/>
                <w:lang w:eastAsia="en-GB"/>
              </w:rPr>
            </w:pPr>
          </w:p>
        </w:tc>
      </w:tr>
      <w:tr w:rsidR="003E6118" w:rsidRPr="00502A64" w14:paraId="3C90232C" w14:textId="77777777" w:rsidTr="00555D83">
        <w:tc>
          <w:tcPr>
            <w:tcW w:w="9350" w:type="dxa"/>
            <w:gridSpan w:val="3"/>
            <w:shd w:val="clear" w:color="auto" w:fill="ED7D31"/>
          </w:tcPr>
          <w:p w14:paraId="2FA3DE33" w14:textId="77B1C017" w:rsidR="003E6118" w:rsidRPr="00502A64" w:rsidRDefault="003E6118"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E6118" w:rsidRPr="00502A64" w14:paraId="65085AB9" w14:textId="77777777" w:rsidTr="00555D83">
        <w:tc>
          <w:tcPr>
            <w:tcW w:w="9350" w:type="dxa"/>
            <w:gridSpan w:val="3"/>
          </w:tcPr>
          <w:p w14:paraId="00A214E6" w14:textId="663D0EDB" w:rsidR="003E6118" w:rsidRPr="00502A64" w:rsidRDefault="00365956" w:rsidP="00555D83">
            <w:pPr>
              <w:rPr>
                <w:rFonts w:ascii="Calibri" w:eastAsia="Times New Roman" w:hAnsi="Calibri" w:cs="Calibri"/>
                <w:b/>
                <w:sz w:val="20"/>
                <w:szCs w:val="20"/>
                <w:lang w:eastAsia="en-GB"/>
              </w:rPr>
            </w:pPr>
            <w:r w:rsidRPr="003457B8">
              <w:rPr>
                <w:rFonts w:ascii="Calibri" w:eastAsia="Times New Roman" w:hAnsi="Calibri" w:cs="Times New Roman"/>
                <w:sz w:val="20"/>
                <w:szCs w:val="20"/>
                <w:lang w:val="en-US"/>
              </w:rPr>
              <w:t xml:space="preserve">Tax cuts should not be legislated to be introduced beyond the </w:t>
            </w:r>
            <w:r w:rsidR="00E8407C" w:rsidRPr="003457B8">
              <w:rPr>
                <w:rFonts w:ascii="Calibri" w:eastAsia="Times New Roman" w:hAnsi="Calibri" w:cs="Times New Roman"/>
                <w:sz w:val="20"/>
                <w:szCs w:val="20"/>
                <w:lang w:val="en-US"/>
              </w:rPr>
              <w:t>four-year</w:t>
            </w:r>
            <w:r w:rsidRPr="003457B8">
              <w:rPr>
                <w:rFonts w:ascii="Calibri" w:eastAsia="Times New Roman" w:hAnsi="Calibri" w:cs="Times New Roman"/>
                <w:sz w:val="20"/>
                <w:szCs w:val="20"/>
                <w:lang w:val="en-US"/>
              </w:rPr>
              <w:t xml:space="preserve"> budget cycle. Long term plans to deliver tax cuts depends on projections of the performance of the economy over that period and on containing spending growth.</w:t>
            </w:r>
          </w:p>
        </w:tc>
      </w:tr>
      <w:tr w:rsidR="003E6118" w:rsidRPr="00502A64" w14:paraId="25DA9540" w14:textId="77777777" w:rsidTr="00555D83">
        <w:trPr>
          <w:trHeight w:val="248"/>
        </w:trPr>
        <w:tc>
          <w:tcPr>
            <w:tcW w:w="9350" w:type="dxa"/>
            <w:gridSpan w:val="3"/>
            <w:shd w:val="clear" w:color="auto" w:fill="FDE5CC" w:themeFill="accent1" w:themeFillTint="33"/>
          </w:tcPr>
          <w:p w14:paraId="0C8D5AA1"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E6118" w:rsidRPr="00502A64" w14:paraId="1E2DADA1" w14:textId="77777777" w:rsidTr="00555D83">
        <w:trPr>
          <w:trHeight w:val="248"/>
        </w:trPr>
        <w:tc>
          <w:tcPr>
            <w:tcW w:w="3116" w:type="dxa"/>
            <w:shd w:val="clear" w:color="auto" w:fill="FFFFFF" w:themeFill="background1"/>
          </w:tcPr>
          <w:p w14:paraId="4D9C8C05"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9B47882"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B7FBAC9"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E6118" w:rsidRPr="00502A64" w14:paraId="3D040E81" w14:textId="77777777" w:rsidTr="001808E6">
        <w:trPr>
          <w:trHeight w:val="247"/>
        </w:trPr>
        <w:tc>
          <w:tcPr>
            <w:tcW w:w="3116" w:type="dxa"/>
            <w:shd w:val="clear" w:color="auto" w:fill="F9B268" w:themeFill="accent1" w:themeFillTint="99"/>
          </w:tcPr>
          <w:p w14:paraId="596AAFA9" w14:textId="79671253" w:rsidR="003E6118" w:rsidRPr="001808E6" w:rsidRDefault="001808E6" w:rsidP="00555D83">
            <w:pPr>
              <w:rPr>
                <w:rFonts w:ascii="Calibri" w:eastAsia="Times New Roman" w:hAnsi="Calibri" w:cs="Calibri"/>
                <w:sz w:val="20"/>
                <w:szCs w:val="20"/>
                <w:lang w:eastAsia="en-GB"/>
              </w:rPr>
            </w:pPr>
            <w:r w:rsidRPr="001808E6">
              <w:rPr>
                <w:rFonts w:ascii="Calibri" w:eastAsia="Times New Roman" w:hAnsi="Calibri" w:cs="Calibri"/>
                <w:sz w:val="20"/>
                <w:szCs w:val="20"/>
                <w:lang w:eastAsia="en-GB"/>
              </w:rPr>
              <w:t>Propos</w:t>
            </w:r>
            <w:r w:rsidR="002C38C9">
              <w:rPr>
                <w:rFonts w:ascii="Calibri" w:eastAsia="Times New Roman" w:hAnsi="Calibri" w:cs="Calibri"/>
                <w:sz w:val="20"/>
                <w:szCs w:val="20"/>
                <w:lang w:eastAsia="en-GB"/>
              </w:rPr>
              <w:t>e</w:t>
            </w:r>
            <w:r w:rsidRPr="001808E6">
              <w:rPr>
                <w:rFonts w:ascii="Calibri" w:eastAsia="Times New Roman" w:hAnsi="Calibri" w:cs="Calibri"/>
                <w:sz w:val="20"/>
                <w:szCs w:val="20"/>
                <w:lang w:eastAsia="en-GB"/>
              </w:rPr>
              <w:t xml:space="preserve">s to repeal the long term </w:t>
            </w:r>
            <w:r w:rsidR="002C38C9">
              <w:rPr>
                <w:rFonts w:ascii="Calibri" w:eastAsia="Times New Roman" w:hAnsi="Calibri" w:cs="Calibri"/>
                <w:sz w:val="20"/>
                <w:szCs w:val="20"/>
                <w:lang w:eastAsia="en-GB"/>
              </w:rPr>
              <w:t>cuts</w:t>
            </w:r>
          </w:p>
          <w:p w14:paraId="6CE1CCBF" w14:textId="77777777" w:rsidR="003E6118" w:rsidRPr="00502A64" w:rsidRDefault="003E6118" w:rsidP="00555D83">
            <w:pPr>
              <w:rPr>
                <w:rFonts w:ascii="Calibri" w:eastAsia="Times New Roman" w:hAnsi="Calibri" w:cs="Calibri"/>
                <w:b/>
                <w:sz w:val="20"/>
                <w:szCs w:val="20"/>
                <w:lang w:eastAsia="en-GB"/>
              </w:rPr>
            </w:pPr>
          </w:p>
        </w:tc>
        <w:tc>
          <w:tcPr>
            <w:tcW w:w="3117" w:type="dxa"/>
            <w:shd w:val="clear" w:color="auto" w:fill="FFFFFF" w:themeFill="background1"/>
          </w:tcPr>
          <w:p w14:paraId="2D7899DF" w14:textId="36B4841F" w:rsidR="003E6118" w:rsidRPr="00502A64" w:rsidRDefault="00365956" w:rsidP="00555D83">
            <w:pPr>
              <w:rPr>
                <w:rFonts w:ascii="Calibri" w:eastAsia="Times New Roman" w:hAnsi="Calibri" w:cs="Calibri"/>
                <w:b/>
                <w:sz w:val="20"/>
                <w:szCs w:val="20"/>
                <w:lang w:eastAsia="en-GB"/>
              </w:rPr>
            </w:pPr>
            <w:r>
              <w:rPr>
                <w:rFonts w:ascii="Calibri" w:eastAsia="Times New Roman" w:hAnsi="Calibri" w:cs="Times New Roman"/>
                <w:noProof/>
                <w:sz w:val="20"/>
                <w:szCs w:val="20"/>
              </w:rPr>
              <w:t>The proposed changes to tax rates will not be delivered until the 2022-23 and 2023-24 years of income.</w:t>
            </w:r>
          </w:p>
        </w:tc>
        <w:tc>
          <w:tcPr>
            <w:tcW w:w="3117" w:type="dxa"/>
            <w:shd w:val="clear" w:color="auto" w:fill="FFFFFF" w:themeFill="background1"/>
          </w:tcPr>
          <w:p w14:paraId="06B3DBCD" w14:textId="77777777" w:rsidR="003E6118" w:rsidRPr="00502A64" w:rsidRDefault="003E6118" w:rsidP="00555D83">
            <w:pPr>
              <w:rPr>
                <w:rFonts w:ascii="Calibri" w:eastAsia="Times New Roman" w:hAnsi="Calibri" w:cs="Calibri"/>
                <w:b/>
                <w:sz w:val="20"/>
                <w:szCs w:val="20"/>
                <w:lang w:eastAsia="en-GB"/>
              </w:rPr>
            </w:pPr>
          </w:p>
        </w:tc>
      </w:tr>
    </w:tbl>
    <w:p w14:paraId="0D1B30F8" w14:textId="77777777" w:rsidR="00235F8B" w:rsidRDefault="00235F8B">
      <w:r>
        <w:br w:type="page"/>
      </w:r>
      <w:bookmarkStart w:id="1" w:name="_GoBack"/>
      <w:bookmarkEnd w:id="1"/>
    </w:p>
    <w:tbl>
      <w:tblPr>
        <w:tblStyle w:val="TableGrid3"/>
        <w:tblW w:w="0" w:type="auto"/>
        <w:tblLook w:val="04A0" w:firstRow="1" w:lastRow="0" w:firstColumn="1" w:lastColumn="0" w:noHBand="0" w:noVBand="1"/>
      </w:tblPr>
      <w:tblGrid>
        <w:gridCol w:w="3116"/>
        <w:gridCol w:w="3117"/>
        <w:gridCol w:w="3117"/>
      </w:tblGrid>
      <w:tr w:rsidR="003E6118" w:rsidRPr="00502A64" w14:paraId="1650F222" w14:textId="77777777" w:rsidTr="00555D83">
        <w:tc>
          <w:tcPr>
            <w:tcW w:w="9350" w:type="dxa"/>
            <w:gridSpan w:val="3"/>
            <w:shd w:val="clear" w:color="auto" w:fill="ED7D31"/>
          </w:tcPr>
          <w:p w14:paraId="5FAD4C32" w14:textId="2094F22B" w:rsidR="003E6118" w:rsidRPr="00502A64" w:rsidRDefault="003E6118"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3E6118" w:rsidRPr="00502A64" w14:paraId="6C678764" w14:textId="77777777" w:rsidTr="00555D83">
        <w:tc>
          <w:tcPr>
            <w:tcW w:w="9350" w:type="dxa"/>
            <w:gridSpan w:val="3"/>
          </w:tcPr>
          <w:p w14:paraId="3A65BF45" w14:textId="63BE7823" w:rsidR="003E6118" w:rsidRPr="00502A64" w:rsidRDefault="00F36F7F" w:rsidP="005F1A27">
            <w:pPr>
              <w:rPr>
                <w:rFonts w:ascii="Calibri" w:eastAsia="Times New Roman" w:hAnsi="Calibri" w:cs="Calibri"/>
                <w:b/>
                <w:sz w:val="20"/>
                <w:szCs w:val="20"/>
                <w:lang w:eastAsia="en-GB"/>
              </w:rPr>
            </w:pPr>
            <w:r>
              <w:rPr>
                <w:rFonts w:ascii="Calibri" w:eastAsia="Times New Roman" w:hAnsi="Calibri" w:cs="Times New Roman"/>
                <w:sz w:val="20"/>
                <w:szCs w:val="20"/>
                <w:lang w:val="en-US"/>
              </w:rPr>
              <w:t>Corporate Tax Cuts should only be introduced where there is a clear economic benefit. This benefit is not yet demonstrated in respect of large companies.</w:t>
            </w:r>
          </w:p>
        </w:tc>
      </w:tr>
      <w:tr w:rsidR="003E6118" w:rsidRPr="00502A64" w14:paraId="5D82E25D" w14:textId="77777777" w:rsidTr="00555D83">
        <w:trPr>
          <w:trHeight w:val="248"/>
        </w:trPr>
        <w:tc>
          <w:tcPr>
            <w:tcW w:w="9350" w:type="dxa"/>
            <w:gridSpan w:val="3"/>
            <w:shd w:val="clear" w:color="auto" w:fill="FDE5CC" w:themeFill="accent1" w:themeFillTint="33"/>
          </w:tcPr>
          <w:p w14:paraId="5AC1F28D"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E6118" w:rsidRPr="00502A64" w14:paraId="5DBC82FA" w14:textId="77777777" w:rsidTr="00555D83">
        <w:trPr>
          <w:trHeight w:val="248"/>
        </w:trPr>
        <w:tc>
          <w:tcPr>
            <w:tcW w:w="3116" w:type="dxa"/>
            <w:shd w:val="clear" w:color="auto" w:fill="FFFFFF" w:themeFill="background1"/>
          </w:tcPr>
          <w:p w14:paraId="0132ED25"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9C05260"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224ED9E" w14:textId="77777777" w:rsidR="003E6118" w:rsidRPr="00502A64" w:rsidRDefault="003E6118"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E6118" w:rsidRPr="00502A64" w14:paraId="1261F9C4" w14:textId="77777777" w:rsidTr="00235F8B">
        <w:trPr>
          <w:trHeight w:val="247"/>
        </w:trPr>
        <w:tc>
          <w:tcPr>
            <w:tcW w:w="3116" w:type="dxa"/>
            <w:shd w:val="clear" w:color="auto" w:fill="FDE5CC" w:themeFill="accent1" w:themeFillTint="33"/>
          </w:tcPr>
          <w:p w14:paraId="21624098" w14:textId="5154CC3A" w:rsidR="001808E6" w:rsidRPr="001808E6" w:rsidRDefault="001808E6" w:rsidP="001808E6">
            <w:pPr>
              <w:shd w:val="clear" w:color="auto" w:fill="FDE5CC" w:themeFill="accent1" w:themeFillTint="33"/>
              <w:rPr>
                <w:rFonts w:ascii="Calibri" w:eastAsia="Times New Roman" w:hAnsi="Calibri" w:cs="Calibri"/>
                <w:sz w:val="20"/>
                <w:szCs w:val="20"/>
                <w:lang w:eastAsia="en-GB"/>
              </w:rPr>
            </w:pPr>
            <w:r w:rsidRPr="001808E6">
              <w:rPr>
                <w:rFonts w:ascii="Calibri" w:eastAsia="Times New Roman" w:hAnsi="Calibri" w:cs="Calibri"/>
                <w:sz w:val="20"/>
                <w:szCs w:val="20"/>
                <w:lang w:eastAsia="en-GB"/>
              </w:rPr>
              <w:t>(announced 12/10/2018)</w:t>
            </w:r>
          </w:p>
          <w:p w14:paraId="4240BD2E" w14:textId="77777777" w:rsidR="003E6118" w:rsidRDefault="001808E6" w:rsidP="001808E6">
            <w:pPr>
              <w:shd w:val="clear" w:color="auto" w:fill="FDE5CC" w:themeFill="accent1" w:themeFillTint="33"/>
              <w:rPr>
                <w:rFonts w:ascii="Calibri" w:eastAsia="Times New Roman" w:hAnsi="Calibri" w:cs="Calibri"/>
                <w:sz w:val="20"/>
                <w:szCs w:val="20"/>
                <w:lang w:eastAsia="en-GB"/>
              </w:rPr>
            </w:pPr>
            <w:r w:rsidRPr="001808E6">
              <w:rPr>
                <w:rFonts w:ascii="Calibri" w:eastAsia="Times New Roman" w:hAnsi="Calibri" w:cs="Calibri"/>
                <w:sz w:val="20"/>
                <w:szCs w:val="20"/>
                <w:lang w:eastAsia="en-GB"/>
              </w:rPr>
              <w:t>Small business tax cuts will be limited to companies with turnover less than $25m pa</w:t>
            </w:r>
          </w:p>
          <w:p w14:paraId="54E0ED65" w14:textId="345E074C" w:rsidR="001808E6" w:rsidRPr="00502A64" w:rsidRDefault="001808E6" w:rsidP="00FB2873">
            <w:pPr>
              <w:shd w:val="clear" w:color="auto" w:fill="FDE5CC" w:themeFill="accent1" w:themeFillTint="33"/>
              <w:rPr>
                <w:rFonts w:ascii="Calibri" w:eastAsia="Times New Roman" w:hAnsi="Calibri" w:cs="Calibri"/>
                <w:b/>
                <w:sz w:val="20"/>
                <w:szCs w:val="20"/>
                <w:lang w:eastAsia="en-GB"/>
              </w:rPr>
            </w:pPr>
            <w:r>
              <w:rPr>
                <w:rFonts w:ascii="Calibri" w:eastAsia="Times New Roman" w:hAnsi="Calibri" w:cs="Calibri"/>
                <w:sz w:val="20"/>
                <w:szCs w:val="20"/>
                <w:lang w:eastAsia="en-GB"/>
              </w:rPr>
              <w:t xml:space="preserve">(announced </w:t>
            </w:r>
            <w:r w:rsidR="00FB2873">
              <w:rPr>
                <w:rFonts w:ascii="Calibri" w:eastAsia="Times New Roman" w:hAnsi="Calibri" w:cs="Calibri"/>
                <w:sz w:val="20"/>
                <w:szCs w:val="20"/>
                <w:lang w:eastAsia="en-GB"/>
              </w:rPr>
              <w:t xml:space="preserve">13 March 2018) </w:t>
            </w:r>
            <w:r>
              <w:rPr>
                <w:rFonts w:ascii="Calibri" w:eastAsia="Times New Roman" w:hAnsi="Calibri" w:cs="Calibri"/>
                <w:sz w:val="20"/>
                <w:szCs w:val="20"/>
                <w:lang w:eastAsia="en-GB"/>
              </w:rPr>
              <w:t>Proposed Australian Investment Guarantee that increases depreciation rates for investment in plant</w:t>
            </w:r>
            <w:r w:rsidR="00FB2873">
              <w:rPr>
                <w:rFonts w:ascii="Calibri" w:eastAsia="Times New Roman" w:hAnsi="Calibri" w:cs="Calibri"/>
                <w:sz w:val="20"/>
                <w:szCs w:val="20"/>
                <w:lang w:eastAsia="en-GB"/>
              </w:rPr>
              <w:t>, commencing 2021-22.</w:t>
            </w:r>
          </w:p>
        </w:tc>
        <w:tc>
          <w:tcPr>
            <w:tcW w:w="3117" w:type="dxa"/>
            <w:shd w:val="clear" w:color="auto" w:fill="FDE5CC" w:themeFill="accent1" w:themeFillTint="33"/>
          </w:tcPr>
          <w:p w14:paraId="3121E8F2" w14:textId="77777777" w:rsidR="003E6118" w:rsidRDefault="00F701BB" w:rsidP="00555D83">
            <w:pPr>
              <w:rPr>
                <w:rFonts w:ascii="Calibri" w:eastAsia="Times New Roman" w:hAnsi="Calibri" w:cs="Times New Roman"/>
                <w:noProof/>
                <w:sz w:val="20"/>
                <w:szCs w:val="20"/>
              </w:rPr>
            </w:pPr>
            <w:r>
              <w:rPr>
                <w:rFonts w:ascii="Calibri" w:eastAsia="Times New Roman" w:hAnsi="Calibri" w:cs="Times New Roman"/>
                <w:noProof/>
                <w:sz w:val="20"/>
                <w:szCs w:val="20"/>
              </w:rPr>
              <w:t>The proposed corporate tax changes are limited to small to medium businesses with a turnover of less than $50m.</w:t>
            </w:r>
          </w:p>
          <w:p w14:paraId="540010A9" w14:textId="7CF24ED2" w:rsidR="001808E6" w:rsidRPr="00502A64" w:rsidRDefault="001808E6" w:rsidP="00555D83">
            <w:pPr>
              <w:rPr>
                <w:rFonts w:ascii="Calibri" w:eastAsia="Times New Roman" w:hAnsi="Calibri" w:cs="Calibri"/>
                <w:b/>
                <w:sz w:val="20"/>
                <w:szCs w:val="20"/>
                <w:lang w:eastAsia="en-GB"/>
              </w:rPr>
            </w:pPr>
            <w:r>
              <w:rPr>
                <w:rFonts w:ascii="Calibri" w:eastAsia="Times New Roman" w:hAnsi="Calibri" w:cs="Times New Roman"/>
                <w:noProof/>
                <w:sz w:val="20"/>
                <w:szCs w:val="20"/>
              </w:rPr>
              <w:t>Increased access to instant asset write-off for businesses with turnover up to $50m pa</w:t>
            </w:r>
          </w:p>
        </w:tc>
        <w:tc>
          <w:tcPr>
            <w:tcW w:w="3117" w:type="dxa"/>
            <w:shd w:val="clear" w:color="auto" w:fill="FFFFFF" w:themeFill="background1"/>
          </w:tcPr>
          <w:p w14:paraId="218BFC7D" w14:textId="77777777" w:rsidR="003E6118" w:rsidRPr="00502A64" w:rsidRDefault="003E6118" w:rsidP="00555D83">
            <w:pPr>
              <w:rPr>
                <w:rFonts w:ascii="Calibri" w:eastAsia="Times New Roman" w:hAnsi="Calibri" w:cs="Calibri"/>
                <w:b/>
                <w:sz w:val="20"/>
                <w:szCs w:val="20"/>
                <w:lang w:eastAsia="en-GB"/>
              </w:rPr>
            </w:pPr>
          </w:p>
        </w:tc>
      </w:tr>
    </w:tbl>
    <w:p w14:paraId="79B8C6FD" w14:textId="77777777" w:rsidR="003E6118" w:rsidRDefault="003E6118" w:rsidP="003E6118"/>
    <w:tbl>
      <w:tblPr>
        <w:tblStyle w:val="ListTable4-Accent21"/>
        <w:tblW w:w="0" w:type="auto"/>
        <w:tblLook w:val="04A0" w:firstRow="1" w:lastRow="0" w:firstColumn="1" w:lastColumn="0" w:noHBand="0" w:noVBand="1"/>
      </w:tblPr>
      <w:tblGrid>
        <w:gridCol w:w="3102"/>
        <w:gridCol w:w="1183"/>
        <w:gridCol w:w="5065"/>
      </w:tblGrid>
      <w:tr w:rsidR="003E6118" w:rsidRPr="00502A64" w14:paraId="419C0190"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0B6D87D" w14:textId="77777777" w:rsidR="003E6118" w:rsidRPr="00502A64" w:rsidRDefault="003E6118"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3E6118" w:rsidRPr="00502A64" w14:paraId="380CA263"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18F4B619" w14:textId="77777777" w:rsidR="003E6118" w:rsidRPr="00502A64" w:rsidRDefault="003E6118"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7EFAAD2D" w14:textId="77777777" w:rsidR="003E6118" w:rsidRPr="00502A64" w:rsidRDefault="003E6118"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1D29E37" w14:textId="77777777" w:rsidR="003E6118" w:rsidRPr="00502A64" w:rsidRDefault="003E6118"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0137E2" w:rsidRPr="00502A64" w14:paraId="622A2739"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1CD2203" w14:textId="0C404FDF" w:rsidR="000137E2" w:rsidRPr="002D673D" w:rsidRDefault="002D673D" w:rsidP="002D673D">
            <w:pPr>
              <w:rPr>
                <w:rFonts w:cs="Poppins"/>
                <w:b w:val="0"/>
                <w:color w:val="000000"/>
                <w:sz w:val="20"/>
                <w:szCs w:val="20"/>
              </w:rPr>
            </w:pPr>
            <w:r w:rsidRPr="002D673D">
              <w:rPr>
                <w:rFonts w:cs="Poppins"/>
                <w:b w:val="0"/>
                <w:color w:val="000000"/>
                <w:sz w:val="20"/>
                <w:szCs w:val="20"/>
              </w:rPr>
              <w:t>Abolition of Refundable Offsets where Franking Credits Exceed Tax Payable</w:t>
            </w:r>
          </w:p>
        </w:tc>
        <w:sdt>
          <w:sdtPr>
            <w:rPr>
              <w:rFonts w:ascii="Calibri" w:hAnsi="Calibri" w:cs="Poppins"/>
              <w:color w:val="000000"/>
              <w:sz w:val="20"/>
              <w:szCs w:val="20"/>
            </w:rPr>
            <w:alias w:val="Party"/>
            <w:tag w:val="Party"/>
            <w:id w:val="-1544291634"/>
            <w:placeholder>
              <w:docPart w:val="C279128C70A946C080BDC6EA99B88515"/>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659EB371" w14:textId="5E30CE0E" w:rsidR="000137E2" w:rsidRDefault="002D673D" w:rsidP="000137E2">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ALP</w:t>
                </w:r>
              </w:p>
            </w:tc>
          </w:sdtContent>
        </w:sdt>
        <w:tc>
          <w:tcPr>
            <w:tcW w:w="5065" w:type="dxa"/>
            <w:shd w:val="clear" w:color="auto" w:fill="FFFFFF"/>
          </w:tcPr>
          <w:p w14:paraId="7AB7A1AE" w14:textId="77777777" w:rsidR="00F36F7F" w:rsidRDefault="00F36F7F" w:rsidP="000137E2">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Refer to separate discussion paper.</w:t>
            </w:r>
          </w:p>
          <w:p w14:paraId="1456D4B0" w14:textId="71C05DE0" w:rsidR="000137E2" w:rsidRPr="00BC5760" w:rsidRDefault="002D673D" w:rsidP="00F36F7F">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NFAW supports proposals that will make the tax system more progressive, subject to appropriate provisions to mitigate the effect on older women.</w:t>
            </w:r>
            <w:r w:rsidR="00F36F7F">
              <w:rPr>
                <w:rFonts w:cs="Poppins"/>
                <w:color w:val="000000"/>
                <w:sz w:val="20"/>
                <w:szCs w:val="20"/>
              </w:rPr>
              <w:t xml:space="preserve"> NFAW does not believe that this will impact on women more than men, if appropriate phasing in rules are adopted.</w:t>
            </w:r>
            <w:r>
              <w:rPr>
                <w:rFonts w:cs="Poppins"/>
                <w:color w:val="000000"/>
                <w:sz w:val="20"/>
                <w:szCs w:val="20"/>
              </w:rPr>
              <w:t xml:space="preserve"> </w:t>
            </w:r>
          </w:p>
        </w:tc>
      </w:tr>
      <w:tr w:rsidR="000137E2" w:rsidRPr="00BC5760" w14:paraId="406F0C8D"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090C232" w14:textId="7CC045F3" w:rsidR="000137E2" w:rsidRPr="002D673D" w:rsidRDefault="000137E2" w:rsidP="002D673D">
            <w:pPr>
              <w:rPr>
                <w:rFonts w:cs="Poppins"/>
                <w:b w:val="0"/>
                <w:color w:val="000000"/>
                <w:sz w:val="20"/>
                <w:szCs w:val="20"/>
              </w:rPr>
            </w:pPr>
          </w:p>
        </w:tc>
        <w:tc>
          <w:tcPr>
            <w:tcW w:w="1183" w:type="dxa"/>
            <w:shd w:val="clear" w:color="auto" w:fill="FFFFFF"/>
          </w:tcPr>
          <w:p w14:paraId="7C76E27C" w14:textId="5C307D51" w:rsidR="000137E2" w:rsidRDefault="000137E2"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p>
        </w:tc>
        <w:tc>
          <w:tcPr>
            <w:tcW w:w="5065" w:type="dxa"/>
            <w:shd w:val="clear" w:color="auto" w:fill="FFFFFF"/>
          </w:tcPr>
          <w:p w14:paraId="77DBA5A8" w14:textId="77777777" w:rsidR="000137E2" w:rsidRPr="00BC5760" w:rsidRDefault="000137E2"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0137E2" w:rsidRPr="00BC5760" w14:paraId="22D4E7AF"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283C29B" w14:textId="7FC5A3F9" w:rsidR="000137E2" w:rsidRPr="00BC5760" w:rsidRDefault="000137E2" w:rsidP="00555D83">
            <w:pPr>
              <w:rPr>
                <w:rFonts w:cs="Poppins"/>
                <w:color w:val="000000"/>
                <w:sz w:val="20"/>
                <w:szCs w:val="20"/>
              </w:rPr>
            </w:pPr>
          </w:p>
        </w:tc>
        <w:tc>
          <w:tcPr>
            <w:tcW w:w="1183" w:type="dxa"/>
            <w:shd w:val="clear" w:color="auto" w:fill="FFFFFF"/>
          </w:tcPr>
          <w:p w14:paraId="73CD9E08" w14:textId="3AB60A15" w:rsidR="000137E2" w:rsidRDefault="000137E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p>
        </w:tc>
        <w:tc>
          <w:tcPr>
            <w:tcW w:w="5065" w:type="dxa"/>
            <w:shd w:val="clear" w:color="auto" w:fill="FFFFFF"/>
          </w:tcPr>
          <w:p w14:paraId="32347E10" w14:textId="77777777" w:rsidR="000137E2" w:rsidRPr="00BC5760" w:rsidRDefault="000137E2"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062F93E5" w14:textId="77777777" w:rsidR="003E6118" w:rsidRPr="00502A64" w:rsidRDefault="003E6118" w:rsidP="003E6118">
      <w:pPr>
        <w:rPr>
          <w:rFonts w:ascii="Calibri" w:eastAsia="Times New Roman" w:hAnsi="Calibri" w:cs="Times New Roman"/>
        </w:rPr>
      </w:pPr>
    </w:p>
    <w:p w14:paraId="6A497807" w14:textId="77777777" w:rsidR="003E6118" w:rsidRPr="00502A64" w:rsidRDefault="003E6118" w:rsidP="003E6118">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1F8E9B75" w14:textId="77777777" w:rsidR="003E6118" w:rsidRDefault="003E6118" w:rsidP="003E6118">
      <w:pPr>
        <w:rPr>
          <w:rFonts w:eastAsiaTheme="minorHAnsi" w:cs="Poppins"/>
          <w:color w:val="000000"/>
          <w:sz w:val="28"/>
          <w:szCs w:val="28"/>
          <w:lang w:val="en-AU" w:eastAsia="en-US"/>
        </w:rPr>
      </w:pPr>
    </w:p>
    <w:p w14:paraId="6813DF2F" w14:textId="77777777" w:rsidR="003E6118" w:rsidRDefault="003E6118" w:rsidP="007957F1">
      <w:pPr>
        <w:rPr>
          <w:rFonts w:eastAsiaTheme="minorHAnsi" w:cs="Poppins"/>
          <w:color w:val="000000"/>
          <w:sz w:val="28"/>
          <w:szCs w:val="28"/>
          <w:lang w:val="en-AU" w:eastAsia="en-US"/>
        </w:rPr>
      </w:pPr>
    </w:p>
    <w:sectPr w:rsidR="003E6118" w:rsidSect="008E6403">
      <w:footerReference w:type="default" r:id="rId13"/>
      <w:headerReference w:type="first" r:id="rId1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D4C71" w14:textId="77777777" w:rsidR="001404C9" w:rsidRDefault="001404C9" w:rsidP="00855982">
      <w:pPr>
        <w:spacing w:after="0" w:line="240" w:lineRule="auto"/>
      </w:pPr>
      <w:r>
        <w:separator/>
      </w:r>
    </w:p>
  </w:endnote>
  <w:endnote w:type="continuationSeparator" w:id="0">
    <w:p w14:paraId="1169FA68" w14:textId="77777777" w:rsidR="001404C9" w:rsidRDefault="001404C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3B0F9B1" w:rsidR="00855982" w:rsidRDefault="00855982">
        <w:pPr>
          <w:pStyle w:val="Footer"/>
        </w:pPr>
        <w:r>
          <w:fldChar w:fldCharType="begin"/>
        </w:r>
        <w:r>
          <w:instrText xml:space="preserve"> PAGE   \* MERGEFORMAT </w:instrText>
        </w:r>
        <w:r>
          <w:fldChar w:fldCharType="separate"/>
        </w:r>
        <w:r w:rsidR="002C38C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48D3" w14:textId="77777777" w:rsidR="001404C9" w:rsidRDefault="001404C9" w:rsidP="00855982">
      <w:pPr>
        <w:spacing w:after="0" w:line="240" w:lineRule="auto"/>
      </w:pPr>
      <w:r>
        <w:separator/>
      </w:r>
    </w:p>
  </w:footnote>
  <w:footnote w:type="continuationSeparator" w:id="0">
    <w:p w14:paraId="333DD47B" w14:textId="77777777" w:rsidR="001404C9" w:rsidRDefault="001404C9"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AU" w:eastAsia="en-AU"/>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0A6C3E"/>
    <w:multiLevelType w:val="hybridMultilevel"/>
    <w:tmpl w:val="BF46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014D56"/>
    <w:multiLevelType w:val="hybridMultilevel"/>
    <w:tmpl w:val="31784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F53A33"/>
    <w:multiLevelType w:val="hybridMultilevel"/>
    <w:tmpl w:val="D9C4B8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4C13FD"/>
    <w:multiLevelType w:val="hybridMultilevel"/>
    <w:tmpl w:val="069C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677F10"/>
    <w:multiLevelType w:val="hybridMultilevel"/>
    <w:tmpl w:val="A914E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1"/>
  </w:num>
  <w:num w:numId="14">
    <w:abstractNumId w:val="26"/>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3"/>
  </w:num>
  <w:num w:numId="30">
    <w:abstractNumId w:val="24"/>
  </w:num>
  <w:num w:numId="31">
    <w:abstractNumId w:val="21"/>
  </w:num>
  <w:num w:numId="32">
    <w:abstractNumId w:val="25"/>
  </w:num>
  <w:num w:numId="33">
    <w:abstractNumId w:val="19"/>
  </w:num>
  <w:num w:numId="34">
    <w:abstractNumId w:val="16"/>
  </w:num>
  <w:num w:numId="35">
    <w:abstractNumId w:val="10"/>
  </w:num>
  <w:num w:numId="36">
    <w:abstractNumId w:val="30"/>
  </w:num>
  <w:num w:numId="37">
    <w:abstractNumId w:val="28"/>
  </w:num>
  <w:num w:numId="38">
    <w:abstractNumId w:val="27"/>
  </w:num>
  <w:num w:numId="39">
    <w:abstractNumId w:val="31"/>
  </w:num>
  <w:num w:numId="40">
    <w:abstractNumId w:val="29"/>
  </w:num>
  <w:num w:numId="41">
    <w:abstractNumId w:val="22"/>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00881"/>
    <w:rsid w:val="000137E2"/>
    <w:rsid w:val="00031306"/>
    <w:rsid w:val="00033A96"/>
    <w:rsid w:val="00034992"/>
    <w:rsid w:val="000B1D1F"/>
    <w:rsid w:val="000C302D"/>
    <w:rsid w:val="000C4760"/>
    <w:rsid w:val="000D671D"/>
    <w:rsid w:val="00103472"/>
    <w:rsid w:val="001242DB"/>
    <w:rsid w:val="001404C9"/>
    <w:rsid w:val="0014457A"/>
    <w:rsid w:val="0016484A"/>
    <w:rsid w:val="00170232"/>
    <w:rsid w:val="00172FEF"/>
    <w:rsid w:val="001808E6"/>
    <w:rsid w:val="00190052"/>
    <w:rsid w:val="001B055F"/>
    <w:rsid w:val="001D4362"/>
    <w:rsid w:val="001D5618"/>
    <w:rsid w:val="00226686"/>
    <w:rsid w:val="00233361"/>
    <w:rsid w:val="002351F3"/>
    <w:rsid w:val="00235F8B"/>
    <w:rsid w:val="00236573"/>
    <w:rsid w:val="002C38C9"/>
    <w:rsid w:val="002C6970"/>
    <w:rsid w:val="002D1DFD"/>
    <w:rsid w:val="002D673D"/>
    <w:rsid w:val="00336CD9"/>
    <w:rsid w:val="003457B8"/>
    <w:rsid w:val="0034769C"/>
    <w:rsid w:val="0036219E"/>
    <w:rsid w:val="00365956"/>
    <w:rsid w:val="003661F5"/>
    <w:rsid w:val="00370F9B"/>
    <w:rsid w:val="003844CF"/>
    <w:rsid w:val="00395B49"/>
    <w:rsid w:val="003B0225"/>
    <w:rsid w:val="003B02EC"/>
    <w:rsid w:val="003B47AE"/>
    <w:rsid w:val="003B5C46"/>
    <w:rsid w:val="003D59C7"/>
    <w:rsid w:val="003E4DD9"/>
    <w:rsid w:val="003E6118"/>
    <w:rsid w:val="00416E27"/>
    <w:rsid w:val="00423F66"/>
    <w:rsid w:val="00426168"/>
    <w:rsid w:val="004312B3"/>
    <w:rsid w:val="00444743"/>
    <w:rsid w:val="0045338D"/>
    <w:rsid w:val="0046745E"/>
    <w:rsid w:val="0048145A"/>
    <w:rsid w:val="00490AD9"/>
    <w:rsid w:val="004B25FC"/>
    <w:rsid w:val="004F716A"/>
    <w:rsid w:val="00506E6E"/>
    <w:rsid w:val="00574165"/>
    <w:rsid w:val="00574240"/>
    <w:rsid w:val="00575029"/>
    <w:rsid w:val="00585171"/>
    <w:rsid w:val="005C3032"/>
    <w:rsid w:val="005E3A8A"/>
    <w:rsid w:val="005E3B16"/>
    <w:rsid w:val="005F1A27"/>
    <w:rsid w:val="005F1F1A"/>
    <w:rsid w:val="0060079E"/>
    <w:rsid w:val="00617028"/>
    <w:rsid w:val="0062240D"/>
    <w:rsid w:val="00635245"/>
    <w:rsid w:val="00693937"/>
    <w:rsid w:val="006A382D"/>
    <w:rsid w:val="006B1980"/>
    <w:rsid w:val="006B4637"/>
    <w:rsid w:val="006E4190"/>
    <w:rsid w:val="006F0623"/>
    <w:rsid w:val="00706D7D"/>
    <w:rsid w:val="00710BCA"/>
    <w:rsid w:val="007120E9"/>
    <w:rsid w:val="00733196"/>
    <w:rsid w:val="00742AD7"/>
    <w:rsid w:val="00742C60"/>
    <w:rsid w:val="0075055B"/>
    <w:rsid w:val="007550AA"/>
    <w:rsid w:val="007766C0"/>
    <w:rsid w:val="00783121"/>
    <w:rsid w:val="007833A7"/>
    <w:rsid w:val="007957F1"/>
    <w:rsid w:val="007B7B87"/>
    <w:rsid w:val="007E24D4"/>
    <w:rsid w:val="007F17F2"/>
    <w:rsid w:val="007F4587"/>
    <w:rsid w:val="007F61E8"/>
    <w:rsid w:val="00805265"/>
    <w:rsid w:val="008101E3"/>
    <w:rsid w:val="00820223"/>
    <w:rsid w:val="0085031F"/>
    <w:rsid w:val="00855982"/>
    <w:rsid w:val="008625DF"/>
    <w:rsid w:val="008714DD"/>
    <w:rsid w:val="008A2277"/>
    <w:rsid w:val="008A78AE"/>
    <w:rsid w:val="008E06A4"/>
    <w:rsid w:val="008E6403"/>
    <w:rsid w:val="0090478A"/>
    <w:rsid w:val="00904B01"/>
    <w:rsid w:val="00916A5D"/>
    <w:rsid w:val="00917926"/>
    <w:rsid w:val="00941FBD"/>
    <w:rsid w:val="00952796"/>
    <w:rsid w:val="00957067"/>
    <w:rsid w:val="00977E5A"/>
    <w:rsid w:val="00994683"/>
    <w:rsid w:val="009950A3"/>
    <w:rsid w:val="009974BD"/>
    <w:rsid w:val="009A6AF9"/>
    <w:rsid w:val="009C0EC7"/>
    <w:rsid w:val="009C61E1"/>
    <w:rsid w:val="009F0086"/>
    <w:rsid w:val="00A10484"/>
    <w:rsid w:val="00A24B70"/>
    <w:rsid w:val="00A25633"/>
    <w:rsid w:val="00A7036E"/>
    <w:rsid w:val="00A807BE"/>
    <w:rsid w:val="00A9014C"/>
    <w:rsid w:val="00A92915"/>
    <w:rsid w:val="00AA632E"/>
    <w:rsid w:val="00AB46E4"/>
    <w:rsid w:val="00B47970"/>
    <w:rsid w:val="00B52649"/>
    <w:rsid w:val="00B52715"/>
    <w:rsid w:val="00B825BB"/>
    <w:rsid w:val="00BA69CD"/>
    <w:rsid w:val="00BC1735"/>
    <w:rsid w:val="00BC760B"/>
    <w:rsid w:val="00C25637"/>
    <w:rsid w:val="00C36E81"/>
    <w:rsid w:val="00C45B5F"/>
    <w:rsid w:val="00C609AD"/>
    <w:rsid w:val="00CB648E"/>
    <w:rsid w:val="00D054BA"/>
    <w:rsid w:val="00D16871"/>
    <w:rsid w:val="00D42211"/>
    <w:rsid w:val="00D45867"/>
    <w:rsid w:val="00D4612F"/>
    <w:rsid w:val="00D806BF"/>
    <w:rsid w:val="00D9014F"/>
    <w:rsid w:val="00DA203A"/>
    <w:rsid w:val="00DE3FFC"/>
    <w:rsid w:val="00E02ADA"/>
    <w:rsid w:val="00E11748"/>
    <w:rsid w:val="00E13EDA"/>
    <w:rsid w:val="00E517E2"/>
    <w:rsid w:val="00E53BDA"/>
    <w:rsid w:val="00E602FC"/>
    <w:rsid w:val="00E651A1"/>
    <w:rsid w:val="00E8407C"/>
    <w:rsid w:val="00E84E9C"/>
    <w:rsid w:val="00EB56EF"/>
    <w:rsid w:val="00EC21F5"/>
    <w:rsid w:val="00EE7C51"/>
    <w:rsid w:val="00EF1B14"/>
    <w:rsid w:val="00EF2297"/>
    <w:rsid w:val="00F04A2B"/>
    <w:rsid w:val="00F31E75"/>
    <w:rsid w:val="00F36F7F"/>
    <w:rsid w:val="00F428E3"/>
    <w:rsid w:val="00F56E08"/>
    <w:rsid w:val="00F701BB"/>
    <w:rsid w:val="00F75482"/>
    <w:rsid w:val="00F76754"/>
    <w:rsid w:val="00FB2873"/>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docId w15:val="{9005A394-B265-472C-91BC-0A1BCD8C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table" w:customStyle="1" w:styleId="TableGrid3">
    <w:name w:val="Table Grid3"/>
    <w:basedOn w:val="TableNormal"/>
    <w:next w:val="TableGrid"/>
    <w:uiPriority w:val="39"/>
    <w:rsid w:val="003E6118"/>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3E61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8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u.edu.au/sites/default/files/centre-of-policy-studies-budget-response-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oecd.org/emp/part-time-employment-rate.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79128C70A946C080BDC6EA99B88515"/>
        <w:category>
          <w:name w:val="General"/>
          <w:gallery w:val="placeholder"/>
        </w:category>
        <w:types>
          <w:type w:val="bbPlcHdr"/>
        </w:types>
        <w:behaviors>
          <w:behavior w:val="content"/>
        </w:behaviors>
        <w:guid w:val="{F11DE7D7-5CF9-494C-9F31-B7D8D695CA22}"/>
      </w:docPartPr>
      <w:docPartBody>
        <w:p w:rsidR="00202663" w:rsidRDefault="00C91068" w:rsidP="00C91068">
          <w:pPr>
            <w:pStyle w:val="C279128C70A946C080BDC6EA99B88515"/>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5E"/>
    <w:rsid w:val="00202663"/>
    <w:rsid w:val="003D112A"/>
    <w:rsid w:val="003F5A45"/>
    <w:rsid w:val="00422A6E"/>
    <w:rsid w:val="004334AD"/>
    <w:rsid w:val="00502382"/>
    <w:rsid w:val="0050325B"/>
    <w:rsid w:val="005E3D70"/>
    <w:rsid w:val="00771A46"/>
    <w:rsid w:val="00772A05"/>
    <w:rsid w:val="008B365A"/>
    <w:rsid w:val="00912B82"/>
    <w:rsid w:val="0096485E"/>
    <w:rsid w:val="00B715C9"/>
    <w:rsid w:val="00C07848"/>
    <w:rsid w:val="00C91068"/>
    <w:rsid w:val="00CD21F0"/>
    <w:rsid w:val="00CE1990"/>
    <w:rsid w:val="00D25B28"/>
    <w:rsid w:val="00D73AED"/>
    <w:rsid w:val="00E83207"/>
    <w:rsid w:val="00EB373D"/>
    <w:rsid w:val="00FD6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68"/>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52F8B31501F04F6CBCB574AD5B20B322">
    <w:name w:val="52F8B31501F04F6CBCB574AD5B20B322"/>
    <w:rsid w:val="00C91068"/>
  </w:style>
  <w:style w:type="paragraph" w:customStyle="1" w:styleId="89595C8A62054099B00F0F0965D67CFA">
    <w:name w:val="89595C8A62054099B00F0F0965D67CFA"/>
    <w:rsid w:val="00C91068"/>
  </w:style>
  <w:style w:type="paragraph" w:customStyle="1" w:styleId="0E42AE29087F4EF18934406CB5E94F16">
    <w:name w:val="0E42AE29087F4EF18934406CB5E94F16"/>
    <w:rsid w:val="00C91068"/>
  </w:style>
  <w:style w:type="paragraph" w:customStyle="1" w:styleId="5FC2CD538A734FDB89F9CC415A5A3240">
    <w:name w:val="5FC2CD538A734FDB89F9CC415A5A3240"/>
    <w:rsid w:val="00C91068"/>
  </w:style>
  <w:style w:type="paragraph" w:customStyle="1" w:styleId="5A7CB6705F624EE1A3255DC4D32C0471">
    <w:name w:val="5A7CB6705F624EE1A3255DC4D32C0471"/>
    <w:rsid w:val="00C91068"/>
  </w:style>
  <w:style w:type="paragraph" w:customStyle="1" w:styleId="C279128C70A946C080BDC6EA99B88515">
    <w:name w:val="C279128C70A946C080BDC6EA99B88515"/>
    <w:rsid w:val="00C91068"/>
  </w:style>
  <w:style w:type="paragraph" w:customStyle="1" w:styleId="3F8ADBF710D241FB99110AA1D7CB5F97">
    <w:name w:val="3F8ADBF710D241FB99110AA1D7CB5F97"/>
    <w:rsid w:val="00C91068"/>
  </w:style>
  <w:style w:type="paragraph" w:customStyle="1" w:styleId="B7115C305813471FB5538048D46F32DA">
    <w:name w:val="B7115C305813471FB5538048D46F32DA"/>
    <w:rsid w:val="00C91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B99FFB98-2CA5-4D45-B8F8-17B1E87A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4</Pages>
  <Words>1272</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Bushell</dc:creator>
  <cp:lastModifiedBy>Jennifer Bushell</cp:lastModifiedBy>
  <cp:revision>2</cp:revision>
  <dcterms:created xsi:type="dcterms:W3CDTF">2019-04-23T04:08:00Z</dcterms:created>
  <dcterms:modified xsi:type="dcterms:W3CDTF">2019-04-23T04:08:00Z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