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7203E" w14:textId="19C60145" w:rsidR="00C942AF" w:rsidRPr="00C8257E" w:rsidRDefault="00C8257E" w:rsidP="00C8257E">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C22B98">
        <w:rPr>
          <w:b/>
          <w:sz w:val="48"/>
          <w:szCs w:val="48"/>
        </w:rPr>
        <w:t>Women with disabilities</w:t>
      </w:r>
    </w:p>
    <w:p w14:paraId="5D4924E0" w14:textId="2BEEB1C8" w:rsidR="00952796" w:rsidRDefault="00952796" w:rsidP="00C942AF">
      <w:pPr>
        <w:pStyle w:val="Heading1"/>
        <w:spacing w:before="0" w:after="0" w:line="240" w:lineRule="auto"/>
        <w:rPr>
          <w:color w:val="DE5C22"/>
        </w:rPr>
      </w:pPr>
      <w:r w:rsidRPr="00EC21F5">
        <w:rPr>
          <w:color w:val="DE5C22"/>
        </w:rPr>
        <w:t>Wh</w:t>
      </w:r>
      <w:r w:rsidR="00CC385A">
        <w:rPr>
          <w:color w:val="DE5C22"/>
        </w:rPr>
        <w:t>at are the particular issues for</w:t>
      </w:r>
      <w:r w:rsidR="00C22B98">
        <w:rPr>
          <w:color w:val="DE5C22"/>
        </w:rPr>
        <w:t xml:space="preserve"> women with disabilities</w:t>
      </w:r>
      <w:r w:rsidRPr="00EC21F5">
        <w:rPr>
          <w:color w:val="DE5C22"/>
        </w:rPr>
        <w:t>?</w:t>
      </w:r>
    </w:p>
    <w:p w14:paraId="3F986427" w14:textId="77777777" w:rsidR="00A00E16" w:rsidRPr="00C942AF" w:rsidRDefault="00A00E16" w:rsidP="00C942AF">
      <w:pPr>
        <w:spacing w:after="0" w:line="240" w:lineRule="auto"/>
        <w:jc w:val="both"/>
        <w:rPr>
          <w:b/>
        </w:rPr>
      </w:pPr>
      <w:r w:rsidRPr="00C942AF">
        <w:rPr>
          <w:b/>
        </w:rPr>
        <w:t xml:space="preserve">Poverty &amp; Economic Security: </w:t>
      </w:r>
    </w:p>
    <w:p w14:paraId="54470901" w14:textId="77777777" w:rsidR="00A00E16" w:rsidRPr="00C942AF" w:rsidRDefault="00A00E16" w:rsidP="00C942AF">
      <w:pPr>
        <w:pStyle w:val="ListParagraph"/>
        <w:numPr>
          <w:ilvl w:val="0"/>
          <w:numId w:val="24"/>
        </w:numPr>
        <w:spacing w:after="0" w:line="240" w:lineRule="auto"/>
        <w:jc w:val="both"/>
      </w:pPr>
      <w:r w:rsidRPr="00C942AF">
        <w:t>Forty-five percent of people with disabilities live in or near relative poverty</w:t>
      </w:r>
      <w:r w:rsidRPr="00C942AF">
        <w:rPr>
          <w:rStyle w:val="EndnoteReference"/>
        </w:rPr>
        <w:endnoteReference w:id="1"/>
      </w:r>
      <w:r w:rsidRPr="00C942AF">
        <w:t xml:space="preserve">. This is 2.5 times the poverty rate of non-disabled people and double the OECD average (22%). </w:t>
      </w:r>
    </w:p>
    <w:p w14:paraId="43155AC0" w14:textId="77777777" w:rsidR="00B311BD" w:rsidRPr="00C942AF" w:rsidRDefault="00A00E16" w:rsidP="00C942AF">
      <w:pPr>
        <w:pStyle w:val="ListParagraph"/>
        <w:numPr>
          <w:ilvl w:val="0"/>
          <w:numId w:val="24"/>
        </w:numPr>
        <w:spacing w:after="0" w:line="240" w:lineRule="auto"/>
        <w:jc w:val="both"/>
      </w:pPr>
      <w:r w:rsidRPr="00C942AF">
        <w:t>Those with mild to moderate core activity restrictions due to their disability are in the 90% of people with disabilities who are not eligible for NDIS support packages. They are increasingly likely to be on Newstart Allowance rather than the Disability Support Pension. At the same time they are still likely to have higher costs of living than non-disabled women</w:t>
      </w:r>
      <w:r w:rsidR="00B311BD" w:rsidRPr="00C942AF">
        <w:t>.</w:t>
      </w:r>
    </w:p>
    <w:p w14:paraId="11923453" w14:textId="77777777" w:rsidR="00C942AF" w:rsidRDefault="00C942AF" w:rsidP="00C942AF">
      <w:pPr>
        <w:spacing w:after="0" w:line="240" w:lineRule="auto"/>
        <w:jc w:val="both"/>
        <w:rPr>
          <w:b/>
        </w:rPr>
      </w:pPr>
    </w:p>
    <w:p w14:paraId="5E260D32" w14:textId="7646B4C7" w:rsidR="00804321" w:rsidRPr="00C942AF" w:rsidRDefault="00804321" w:rsidP="00C942AF">
      <w:pPr>
        <w:spacing w:after="0" w:line="240" w:lineRule="auto"/>
        <w:jc w:val="both"/>
        <w:rPr>
          <w:b/>
        </w:rPr>
      </w:pPr>
      <w:r w:rsidRPr="00C942AF">
        <w:rPr>
          <w:b/>
        </w:rPr>
        <w:t xml:space="preserve">The Royal Commission: </w:t>
      </w:r>
    </w:p>
    <w:p w14:paraId="74D51233" w14:textId="77777777" w:rsidR="00804321" w:rsidRPr="00C942AF" w:rsidRDefault="00804321" w:rsidP="00C942AF">
      <w:pPr>
        <w:pStyle w:val="ListParagraph"/>
        <w:numPr>
          <w:ilvl w:val="0"/>
          <w:numId w:val="27"/>
        </w:numPr>
        <w:spacing w:after="0" w:line="240" w:lineRule="auto"/>
        <w:jc w:val="both"/>
      </w:pPr>
      <w:r w:rsidRPr="00C942AF">
        <w:t>Government should commit itself to fully fund and support the Royal Commission into violence, abuse and neglect of people with disabilities, and to take a gendered approach to recognise the impact of gender and disability discrimination on women’s self-confidence and self-esteem, in turn affecting their ability to bring their grievances to the commissioners. The Royal Commission should be allowed to run over full election cycle at a minimum.</w:t>
      </w:r>
    </w:p>
    <w:p w14:paraId="39A9DA80" w14:textId="77777777" w:rsidR="00C942AF" w:rsidRDefault="00C942AF" w:rsidP="00C942AF">
      <w:pPr>
        <w:spacing w:after="0" w:line="240" w:lineRule="auto"/>
        <w:jc w:val="both"/>
        <w:rPr>
          <w:b/>
        </w:rPr>
      </w:pPr>
    </w:p>
    <w:p w14:paraId="61A67394" w14:textId="30EE1BB6" w:rsidR="00557882" w:rsidRPr="00C942AF" w:rsidRDefault="00557882" w:rsidP="00C942AF">
      <w:pPr>
        <w:spacing w:after="0" w:line="240" w:lineRule="auto"/>
        <w:jc w:val="both"/>
        <w:rPr>
          <w:b/>
        </w:rPr>
      </w:pPr>
      <w:r w:rsidRPr="00C942AF">
        <w:rPr>
          <w:b/>
        </w:rPr>
        <w:t>National Disability Insurance Scheme</w:t>
      </w:r>
    </w:p>
    <w:p w14:paraId="04E9EC88" w14:textId="77777777" w:rsidR="00557882" w:rsidRPr="00C942AF" w:rsidRDefault="00557882" w:rsidP="00C942AF">
      <w:pPr>
        <w:pStyle w:val="ListParagraph"/>
        <w:numPr>
          <w:ilvl w:val="0"/>
          <w:numId w:val="28"/>
        </w:numPr>
        <w:spacing w:after="0" w:line="240" w:lineRule="auto"/>
        <w:jc w:val="both"/>
      </w:pPr>
      <w:r w:rsidRPr="00C942AF">
        <w:t>Women with disabilities are only 38% of participants in the NDIS. The agency needs to show leadership in employment of people with disabilities, including at all levels achieved by meeting a quota of 51% for employment of people with disabilities</w:t>
      </w:r>
      <w:r w:rsidRPr="00C942AF">
        <w:rPr>
          <w:rStyle w:val="EndnoteReference"/>
        </w:rPr>
        <w:endnoteReference w:id="2"/>
      </w:r>
      <w:r w:rsidRPr="00C942AF">
        <w:t xml:space="preserve"> (this is not to include people who are the primary carers of people with disabilities). There needs to be a requirement for training of employees in human rights (in particular CRPD and CEDAW), the social model of disability, and the impact of violence abuse and neglect on functioning and activities of daily living (ADLs). Changes must be made to implement functional assessments in planning and review, in order to move away from reliance on diagnoses, so that outcomes are closer to a social model that is rights based.</w:t>
      </w:r>
    </w:p>
    <w:p w14:paraId="0EDF6B25" w14:textId="5D421437" w:rsidR="005E09B8" w:rsidRDefault="00557882" w:rsidP="00C37486">
      <w:pPr>
        <w:pStyle w:val="ListParagraph"/>
        <w:numPr>
          <w:ilvl w:val="0"/>
          <w:numId w:val="28"/>
        </w:numPr>
        <w:spacing w:after="0" w:line="240" w:lineRule="auto"/>
        <w:jc w:val="both"/>
      </w:pPr>
      <w:r w:rsidRPr="00C942AF">
        <w:t>Intersectionality also needs to be better acknowledged in assessment and review, as the percentage of people with disabilities with two or more disabilities is high. Estimates of the number of people with cognitive impairment who have a dual disability with a psychiatric disorder varies from 9% to 39%.</w:t>
      </w:r>
      <w:r w:rsidRPr="00C942AF">
        <w:rPr>
          <w:rStyle w:val="EndnoteReference"/>
        </w:rPr>
        <w:endnoteReference w:id="3"/>
      </w:r>
      <w:r w:rsidRPr="00C942AF">
        <w:rPr>
          <w:rStyle w:val="EndnoteReference"/>
        </w:rPr>
        <w:endnoteReference w:id="4"/>
      </w:r>
      <w:r w:rsidRPr="00C942AF">
        <w:rPr>
          <w:rStyle w:val="EndnoteReference"/>
        </w:rPr>
        <w:endnoteReference w:id="5"/>
      </w:r>
    </w:p>
    <w:p w14:paraId="4B0E590C" w14:textId="77777777" w:rsidR="00C37486" w:rsidRPr="00C37486" w:rsidRDefault="00C37486" w:rsidP="00C37486">
      <w:pPr>
        <w:pStyle w:val="ListParagraph"/>
        <w:spacing w:after="0" w:line="240" w:lineRule="auto"/>
        <w:ind w:left="360"/>
        <w:jc w:val="both"/>
      </w:pPr>
    </w:p>
    <w:p w14:paraId="07D471C1" w14:textId="00F695DA" w:rsidR="00A00E16" w:rsidRPr="00C942AF" w:rsidRDefault="00A00E16" w:rsidP="00C942AF">
      <w:pPr>
        <w:spacing w:after="0" w:line="240" w:lineRule="auto"/>
        <w:jc w:val="both"/>
        <w:rPr>
          <w:highlight w:val="green"/>
        </w:rPr>
      </w:pPr>
      <w:r w:rsidRPr="00C942AF">
        <w:rPr>
          <w:b/>
        </w:rPr>
        <w:t>Housing initiatives</w:t>
      </w:r>
      <w:r w:rsidRPr="00C942AF">
        <w:t xml:space="preserve">: </w:t>
      </w:r>
    </w:p>
    <w:p w14:paraId="7C1CAB16" w14:textId="77777777" w:rsidR="00A00E16" w:rsidRPr="00C942AF" w:rsidRDefault="00A00E16" w:rsidP="00C942AF">
      <w:pPr>
        <w:pStyle w:val="ListParagraph"/>
        <w:numPr>
          <w:ilvl w:val="0"/>
          <w:numId w:val="24"/>
        </w:numPr>
        <w:spacing w:after="0" w:line="240" w:lineRule="auto"/>
        <w:jc w:val="both"/>
      </w:pPr>
      <w:r w:rsidRPr="00C942AF">
        <w:t>There is a need for funding to be made available for a further increase in supply of social and public housing to be matched by states and territories through national housing programs. All housing should be accessible and sustainable in design to minimise heating/cooling costs. All new Class 1A (private) dwellings should have minimum levels of accessibility as outlined in the National Dialogue on Universal Housing Design.</w:t>
      </w:r>
      <w:r w:rsidRPr="00C942AF">
        <w:rPr>
          <w:rStyle w:val="EndnoteReference"/>
        </w:rPr>
        <w:endnoteReference w:id="6"/>
      </w:r>
    </w:p>
    <w:p w14:paraId="52CF4BFB" w14:textId="77777777" w:rsidR="00C942AF" w:rsidRDefault="00C942AF" w:rsidP="00C942AF">
      <w:pPr>
        <w:spacing w:after="0" w:line="240" w:lineRule="auto"/>
        <w:jc w:val="both"/>
        <w:rPr>
          <w:b/>
        </w:rPr>
      </w:pPr>
    </w:p>
    <w:p w14:paraId="72DC711C" w14:textId="24BBC708" w:rsidR="00A00E16" w:rsidRPr="00C942AF" w:rsidRDefault="00A00E16" w:rsidP="00C942AF">
      <w:pPr>
        <w:spacing w:after="0" w:line="240" w:lineRule="auto"/>
        <w:jc w:val="both"/>
        <w:rPr>
          <w:b/>
        </w:rPr>
      </w:pPr>
      <w:r w:rsidRPr="00C942AF">
        <w:rPr>
          <w:b/>
        </w:rPr>
        <w:t xml:space="preserve">Employment: </w:t>
      </w:r>
    </w:p>
    <w:p w14:paraId="0DEC44C6" w14:textId="77777777" w:rsidR="00A00E16" w:rsidRPr="00C942AF" w:rsidRDefault="00A00E16" w:rsidP="00C942AF">
      <w:pPr>
        <w:pStyle w:val="ListParagraph"/>
        <w:numPr>
          <w:ilvl w:val="0"/>
          <w:numId w:val="25"/>
        </w:numPr>
        <w:spacing w:after="0" w:line="240" w:lineRule="auto"/>
        <w:jc w:val="both"/>
      </w:pPr>
      <w:r w:rsidRPr="00C942AF">
        <w:t>People with disabilities are more than twice as likely to be unemployed as the non-disabled (10% versus 5%</w:t>
      </w:r>
      <w:r w:rsidRPr="00C942AF">
        <w:rPr>
          <w:rStyle w:val="EndnoteReference"/>
        </w:rPr>
        <w:endnoteReference w:id="7"/>
      </w:r>
      <w:r w:rsidRPr="00C942AF">
        <w:t>).</w:t>
      </w:r>
      <w:r w:rsidRPr="00C942AF">
        <w:rPr>
          <w:b/>
        </w:rPr>
        <w:t xml:space="preserve"> </w:t>
      </w:r>
      <w:r w:rsidRPr="00C942AF">
        <w:t xml:space="preserve">Women with disabilities face greater discrimination in the open employment market. Despite a greater proportion of women with disabilities (compared to men with disabilities) having </w:t>
      </w:r>
      <w:r w:rsidRPr="00C942AF">
        <w:lastRenderedPageBreak/>
        <w:t xml:space="preserve">post school qualifications, they are half as likely to have full time work as their male counterparts and twice as likely to have part time work. </w:t>
      </w:r>
    </w:p>
    <w:p w14:paraId="34EBCEF0" w14:textId="21F38DD9" w:rsidR="007D0951" w:rsidRPr="00C942AF" w:rsidRDefault="00A00E16" w:rsidP="00C942AF">
      <w:pPr>
        <w:pStyle w:val="ListParagraph"/>
        <w:numPr>
          <w:ilvl w:val="0"/>
          <w:numId w:val="25"/>
        </w:numPr>
        <w:spacing w:after="0" w:line="240" w:lineRule="auto"/>
        <w:jc w:val="both"/>
      </w:pPr>
      <w:r w:rsidRPr="00C942AF">
        <w:t>The NDIA needs to reinforce and amplify its employment goal-setting to focus on support for people with disabilities to find and keep a job and have the expectation of a career pathway.</w:t>
      </w:r>
    </w:p>
    <w:p w14:paraId="7FBA8400" w14:textId="77777777" w:rsidR="00C942AF" w:rsidRDefault="00C942AF" w:rsidP="00C942AF">
      <w:pPr>
        <w:spacing w:after="0" w:line="240" w:lineRule="auto"/>
        <w:jc w:val="both"/>
        <w:rPr>
          <w:b/>
        </w:rPr>
      </w:pPr>
    </w:p>
    <w:p w14:paraId="083C8ED9" w14:textId="75A2C05C" w:rsidR="00A00E16" w:rsidRPr="00C942AF" w:rsidRDefault="00A00E16" w:rsidP="00C942AF">
      <w:pPr>
        <w:spacing w:after="0" w:line="240" w:lineRule="auto"/>
        <w:jc w:val="both"/>
      </w:pPr>
      <w:r w:rsidRPr="00C942AF">
        <w:rPr>
          <w:b/>
        </w:rPr>
        <w:t>Social Welfare:</w:t>
      </w:r>
      <w:r w:rsidRPr="00C942AF">
        <w:t xml:space="preserve"> </w:t>
      </w:r>
    </w:p>
    <w:p w14:paraId="1640C984" w14:textId="77777777" w:rsidR="00A00E16" w:rsidRPr="00C942AF" w:rsidRDefault="00A00E16" w:rsidP="00C942AF">
      <w:pPr>
        <w:pStyle w:val="ListParagraph"/>
        <w:numPr>
          <w:ilvl w:val="0"/>
          <w:numId w:val="26"/>
        </w:numPr>
        <w:spacing w:after="0" w:line="240" w:lineRule="auto"/>
        <w:jc w:val="both"/>
      </w:pPr>
      <w:r w:rsidRPr="00C942AF">
        <w:t>The current debt recovery process has unfairly impacted on women with disabilities who have to juggle caring responsibility with job-search obligations. Thirty-two percent of women with disabilities have a primary carer role.</w:t>
      </w:r>
      <w:r w:rsidRPr="00C942AF">
        <w:rPr>
          <w:rStyle w:val="EndnoteReference"/>
        </w:rPr>
        <w:endnoteReference w:id="8"/>
      </w:r>
      <w:r w:rsidRPr="00C942AF">
        <w:t xml:space="preserve"> There is a need for review of the social security system to look at the fairness of the definitions in impairment tables for eligibility to the DSP.</w:t>
      </w:r>
    </w:p>
    <w:p w14:paraId="36F7BF5E" w14:textId="77777777" w:rsidR="00C942AF" w:rsidRDefault="00C942AF" w:rsidP="00C942AF">
      <w:pPr>
        <w:spacing w:after="0" w:line="240" w:lineRule="auto"/>
        <w:jc w:val="both"/>
        <w:rPr>
          <w:b/>
        </w:rPr>
      </w:pPr>
    </w:p>
    <w:p w14:paraId="0F68AE95" w14:textId="1F847135" w:rsidR="00A00E16" w:rsidRPr="00C942AF" w:rsidRDefault="00A00E16" w:rsidP="00C942AF">
      <w:pPr>
        <w:spacing w:after="0" w:line="240" w:lineRule="auto"/>
        <w:jc w:val="both"/>
        <w:rPr>
          <w:b/>
        </w:rPr>
      </w:pPr>
      <w:r w:rsidRPr="00C942AF">
        <w:rPr>
          <w:b/>
        </w:rPr>
        <w:t>Violence</w:t>
      </w:r>
      <w:r w:rsidR="000E7DCC" w:rsidRPr="00C942AF">
        <w:rPr>
          <w:b/>
        </w:rPr>
        <w:t xml:space="preserve"> against Women</w:t>
      </w:r>
      <w:r w:rsidRPr="00C942AF">
        <w:rPr>
          <w:b/>
        </w:rPr>
        <w:t xml:space="preserve">: </w:t>
      </w:r>
    </w:p>
    <w:p w14:paraId="3DFE3E21" w14:textId="77777777" w:rsidR="00A00E16" w:rsidRPr="00C942AF" w:rsidRDefault="00A00E16" w:rsidP="00C942AF">
      <w:pPr>
        <w:pStyle w:val="ListParagraph"/>
        <w:numPr>
          <w:ilvl w:val="0"/>
          <w:numId w:val="26"/>
        </w:numPr>
        <w:spacing w:after="0" w:line="240" w:lineRule="auto"/>
        <w:jc w:val="both"/>
      </w:pPr>
      <w:r w:rsidRPr="00C942AF">
        <w:t>Violence against women with disabilities is an urgent and largely unaddressed issue. The National Plan to Reduce Violence Against Women needs to cover all settings in which violence experienced by women with disabilities occurs.</w:t>
      </w:r>
    </w:p>
    <w:p w14:paraId="041A6FCD" w14:textId="77777777" w:rsidR="00C942AF" w:rsidRDefault="00C942AF" w:rsidP="00C942AF">
      <w:pPr>
        <w:spacing w:after="0" w:line="240" w:lineRule="auto"/>
        <w:jc w:val="both"/>
        <w:rPr>
          <w:b/>
        </w:rPr>
      </w:pPr>
    </w:p>
    <w:p w14:paraId="3EF3DAD3" w14:textId="59754D11" w:rsidR="00A00E16" w:rsidRPr="00C942AF" w:rsidRDefault="00A00E16" w:rsidP="00C942AF">
      <w:pPr>
        <w:spacing w:after="0" w:line="240" w:lineRule="auto"/>
        <w:jc w:val="both"/>
        <w:rPr>
          <w:b/>
        </w:rPr>
      </w:pPr>
      <w:r w:rsidRPr="00C942AF">
        <w:rPr>
          <w:b/>
        </w:rPr>
        <w:t xml:space="preserve">Emergency Accommodation (Women’s Refuges): </w:t>
      </w:r>
    </w:p>
    <w:p w14:paraId="44B78691" w14:textId="77777777" w:rsidR="00D56D5D" w:rsidRPr="00C942AF" w:rsidRDefault="00A00E16" w:rsidP="00C942AF">
      <w:pPr>
        <w:pStyle w:val="ListParagraph"/>
        <w:numPr>
          <w:ilvl w:val="0"/>
          <w:numId w:val="27"/>
        </w:numPr>
        <w:spacing w:after="0" w:line="240" w:lineRule="auto"/>
        <w:jc w:val="both"/>
      </w:pPr>
      <w:r w:rsidRPr="00C942AF">
        <w:t xml:space="preserve">Funding agreements for Emergency Accommodation should mandate the building of accommodation that meets the accessibility standards necessary to accommodate women with disabilities escaping domestic violence. </w:t>
      </w:r>
    </w:p>
    <w:p w14:paraId="0C7CD620" w14:textId="77777777" w:rsidR="001D3F0F" w:rsidRDefault="001D3F0F" w:rsidP="00C8257E">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p>
    <w:p w14:paraId="034826EB" w14:textId="359411D5" w:rsidR="00C8257E" w:rsidRPr="00502A64" w:rsidRDefault="00C8257E" w:rsidP="00C8257E">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C8257E" w:rsidRPr="00502A64" w14:paraId="60D91849"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209B242" w14:textId="77777777" w:rsidR="00C8257E" w:rsidRPr="00502A64" w:rsidRDefault="00C8257E"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490839E3" w14:textId="77777777" w:rsidR="00C8257E" w:rsidRPr="00502A64" w:rsidRDefault="00C8257E"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5BA194DF" w14:textId="77777777" w:rsidR="00C8257E" w:rsidRPr="00502A64" w:rsidRDefault="00C8257E"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3858A3B" w14:textId="77777777" w:rsidR="00C8257E" w:rsidRPr="00502A64" w:rsidRDefault="00C8257E" w:rsidP="00C8257E">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C8257E" w:rsidRPr="00502A64" w14:paraId="746B41A0" w14:textId="77777777" w:rsidTr="00555D83">
        <w:tc>
          <w:tcPr>
            <w:tcW w:w="9350" w:type="dxa"/>
            <w:gridSpan w:val="3"/>
            <w:shd w:val="clear" w:color="auto" w:fill="ED7D31"/>
          </w:tcPr>
          <w:p w14:paraId="3514A784" w14:textId="77777777" w:rsidR="00C8257E" w:rsidRPr="00502A64" w:rsidRDefault="00C8257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8257E" w:rsidRPr="00502A64" w14:paraId="093F15A1" w14:textId="77777777" w:rsidTr="00555D83">
        <w:tc>
          <w:tcPr>
            <w:tcW w:w="9350" w:type="dxa"/>
            <w:gridSpan w:val="3"/>
          </w:tcPr>
          <w:p w14:paraId="51C18CB0" w14:textId="5A65B0C7" w:rsidR="00C8257E" w:rsidRPr="007A566F" w:rsidRDefault="0036473E"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A</w:t>
            </w:r>
            <w:r w:rsidRPr="00BA7213">
              <w:rPr>
                <w:rFonts w:ascii="Calibri" w:eastAsia="Times New Roman" w:hAnsi="Calibri" w:cs="Times New Roman"/>
                <w:sz w:val="20"/>
                <w:szCs w:val="20"/>
                <w:lang w:val="en-US"/>
              </w:rPr>
              <w:t xml:space="preserve"> review of the social service system be </w:t>
            </w:r>
            <w:proofErr w:type="gramStart"/>
            <w:r w:rsidRPr="00BA7213">
              <w:rPr>
                <w:rFonts w:ascii="Calibri" w:eastAsia="Times New Roman" w:hAnsi="Calibri" w:cs="Times New Roman"/>
                <w:sz w:val="20"/>
                <w:szCs w:val="20"/>
                <w:lang w:val="en-US"/>
              </w:rPr>
              <w:t>undertaken</w:t>
            </w:r>
            <w:proofErr w:type="gramEnd"/>
            <w:r>
              <w:rPr>
                <w:rFonts w:ascii="Calibri" w:eastAsia="Times New Roman" w:hAnsi="Calibri" w:cs="Times New Roman"/>
                <w:sz w:val="20"/>
                <w:szCs w:val="20"/>
              </w:rPr>
              <w:t xml:space="preserve"> and recommendations acted on, including the raising of the News</w:t>
            </w:r>
            <w:r w:rsidRPr="00BA7213">
              <w:rPr>
                <w:rFonts w:ascii="Calibri" w:eastAsia="Times New Roman" w:hAnsi="Calibri" w:cs="Times New Roman"/>
                <w:sz w:val="20"/>
                <w:szCs w:val="20"/>
                <w:lang w:val="en-US"/>
              </w:rPr>
              <w:t>tart Allowance by $75 per week, and including the veracity of the impairment tables to assess eligibility for the Disability Support Pension</w:t>
            </w:r>
            <w:r>
              <w:rPr>
                <w:rFonts w:ascii="Calibri" w:eastAsia="Times New Roman" w:hAnsi="Calibri" w:cs="Times New Roman"/>
                <w:sz w:val="20"/>
                <w:szCs w:val="20"/>
                <w:lang w:val="en-US"/>
              </w:rPr>
              <w:t>.</w:t>
            </w:r>
          </w:p>
        </w:tc>
      </w:tr>
      <w:tr w:rsidR="00C8257E" w:rsidRPr="00502A64" w14:paraId="715CBD56" w14:textId="77777777" w:rsidTr="00555D83">
        <w:trPr>
          <w:trHeight w:val="248"/>
        </w:trPr>
        <w:tc>
          <w:tcPr>
            <w:tcW w:w="9350" w:type="dxa"/>
            <w:gridSpan w:val="3"/>
            <w:shd w:val="clear" w:color="auto" w:fill="FDE5CC" w:themeFill="accent1" w:themeFillTint="33"/>
          </w:tcPr>
          <w:p w14:paraId="542D8539" w14:textId="77777777" w:rsidR="00C8257E" w:rsidRPr="00502A64" w:rsidRDefault="00C8257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8257E" w:rsidRPr="00502A64" w14:paraId="1F742C27" w14:textId="77777777" w:rsidTr="00555D83">
        <w:trPr>
          <w:trHeight w:val="248"/>
        </w:trPr>
        <w:tc>
          <w:tcPr>
            <w:tcW w:w="3116" w:type="dxa"/>
            <w:shd w:val="clear" w:color="auto" w:fill="FFFFFF" w:themeFill="background1"/>
          </w:tcPr>
          <w:p w14:paraId="0DD88016" w14:textId="77777777" w:rsidR="00C8257E" w:rsidRPr="00502A64" w:rsidRDefault="00C8257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5B67893" w14:textId="77777777" w:rsidR="00C8257E" w:rsidRPr="00502A64" w:rsidRDefault="00C8257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43C7C2B" w14:textId="77777777" w:rsidR="00C8257E" w:rsidRPr="00502A64" w:rsidRDefault="00C8257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8257E" w:rsidRPr="00502A64" w14:paraId="5D9C90D2" w14:textId="77777777" w:rsidTr="00555D83">
        <w:trPr>
          <w:trHeight w:val="247"/>
        </w:trPr>
        <w:tc>
          <w:tcPr>
            <w:tcW w:w="3116" w:type="dxa"/>
          </w:tcPr>
          <w:p w14:paraId="46CEA64A" w14:textId="77777777" w:rsidR="00C8257E" w:rsidRPr="00502A64" w:rsidRDefault="00C8257E" w:rsidP="00555D83">
            <w:pPr>
              <w:rPr>
                <w:rFonts w:ascii="Calibri" w:eastAsia="Times New Roman" w:hAnsi="Calibri" w:cs="Calibri"/>
                <w:b/>
                <w:sz w:val="20"/>
                <w:szCs w:val="20"/>
                <w:lang w:eastAsia="en-GB"/>
              </w:rPr>
            </w:pPr>
          </w:p>
          <w:p w14:paraId="00CE41B9" w14:textId="77777777" w:rsidR="00C8257E" w:rsidRPr="00502A64" w:rsidRDefault="00C8257E" w:rsidP="00555D83">
            <w:pPr>
              <w:rPr>
                <w:rFonts w:ascii="Calibri" w:eastAsia="Times New Roman" w:hAnsi="Calibri" w:cs="Calibri"/>
                <w:b/>
                <w:sz w:val="20"/>
                <w:szCs w:val="20"/>
                <w:lang w:eastAsia="en-GB"/>
              </w:rPr>
            </w:pPr>
          </w:p>
        </w:tc>
        <w:tc>
          <w:tcPr>
            <w:tcW w:w="3117" w:type="dxa"/>
            <w:shd w:val="clear" w:color="auto" w:fill="FFFFFF" w:themeFill="background1"/>
          </w:tcPr>
          <w:p w14:paraId="66F2F8A6" w14:textId="2E28B038" w:rsidR="007C2DC4" w:rsidRDefault="007C2DC4" w:rsidP="007C2DC4">
            <w:pPr>
              <w:rPr>
                <w:rFonts w:ascii="Calibri" w:eastAsia="Times New Roman" w:hAnsi="Calibri" w:cs="Times New Roman"/>
                <w:sz w:val="20"/>
                <w:szCs w:val="20"/>
              </w:rPr>
            </w:pPr>
            <w:r>
              <w:rPr>
                <w:rFonts w:ascii="Calibri" w:eastAsia="Times New Roman" w:hAnsi="Calibri" w:cs="Times New Roman"/>
                <w:sz w:val="20"/>
                <w:szCs w:val="20"/>
              </w:rPr>
              <w:t xml:space="preserve">No increase </w:t>
            </w:r>
            <w:r w:rsidR="0079061F">
              <w:rPr>
                <w:rFonts w:ascii="Calibri" w:eastAsia="Times New Roman" w:hAnsi="Calibri" w:cs="Times New Roman"/>
                <w:sz w:val="20"/>
                <w:szCs w:val="20"/>
              </w:rPr>
              <w:t xml:space="preserve">in the Budget </w:t>
            </w:r>
            <w:r>
              <w:rPr>
                <w:rFonts w:ascii="Calibri" w:eastAsia="Times New Roman" w:hAnsi="Calibri" w:cs="Times New Roman"/>
                <w:sz w:val="20"/>
                <w:szCs w:val="20"/>
              </w:rPr>
              <w:t>to Newstart, 50% of whom are people with disabilities</w:t>
            </w:r>
            <w:r w:rsidR="00CE19B6">
              <w:rPr>
                <w:rFonts w:ascii="Calibri" w:eastAsia="Times New Roman" w:hAnsi="Calibri" w:cs="Times New Roman"/>
                <w:sz w:val="20"/>
                <w:szCs w:val="20"/>
              </w:rPr>
              <w:t>. And n</w:t>
            </w:r>
            <w:r>
              <w:rPr>
                <w:rFonts w:ascii="Calibri" w:eastAsia="Times New Roman" w:hAnsi="Calibri" w:cs="Times New Roman"/>
                <w:sz w:val="20"/>
                <w:szCs w:val="20"/>
              </w:rPr>
              <w:t>othing to address the decreasing numbers of people deemed ineligible for the DSP and thence relegated to Newstart.</w:t>
            </w:r>
          </w:p>
          <w:p w14:paraId="1239E434" w14:textId="77777777" w:rsidR="007C2DC4" w:rsidRDefault="007C2DC4" w:rsidP="007C2DC4">
            <w:pPr>
              <w:rPr>
                <w:rFonts w:ascii="Calibri" w:eastAsia="Times New Roman" w:hAnsi="Calibri" w:cs="Times New Roman"/>
                <w:sz w:val="20"/>
                <w:szCs w:val="20"/>
              </w:rPr>
            </w:pPr>
            <w:r>
              <w:rPr>
                <w:rFonts w:ascii="Calibri" w:eastAsia="Times New Roman" w:hAnsi="Calibri" w:cs="Times New Roman"/>
                <w:sz w:val="20"/>
                <w:szCs w:val="20"/>
              </w:rPr>
              <w:t>No funding for review of the welfare/social services system.</w:t>
            </w:r>
          </w:p>
          <w:p w14:paraId="51F467F2" w14:textId="77777777" w:rsidR="007C2DC4" w:rsidRDefault="007C2DC4" w:rsidP="007C2DC4">
            <w:pPr>
              <w:rPr>
                <w:rFonts w:ascii="Calibri" w:eastAsia="Times New Roman" w:hAnsi="Calibri" w:cs="Times New Roman"/>
                <w:sz w:val="20"/>
                <w:szCs w:val="20"/>
              </w:rPr>
            </w:pPr>
            <w:r>
              <w:rPr>
                <w:rFonts w:ascii="Calibri" w:eastAsia="Times New Roman" w:hAnsi="Calibri" w:cs="Times New Roman"/>
                <w:sz w:val="20"/>
                <w:szCs w:val="20"/>
              </w:rPr>
              <w:t>The expansion of the Cashless Debit Card system in 2020 to 22,500 more people is likely to affect Aboriginal and Torres Strait Islander women disproportionately and detrimentally (DSS PP P.23)</w:t>
            </w:r>
          </w:p>
          <w:p w14:paraId="03BC0BB6" w14:textId="47651ED2" w:rsidR="00C8257E" w:rsidRPr="00502A64" w:rsidRDefault="007C2DC4" w:rsidP="00BB6501">
            <w:pPr>
              <w:rPr>
                <w:rFonts w:ascii="Calibri" w:eastAsia="Times New Roman" w:hAnsi="Calibri" w:cs="Calibri"/>
                <w:b/>
                <w:sz w:val="20"/>
                <w:szCs w:val="20"/>
                <w:lang w:eastAsia="en-GB"/>
              </w:rPr>
            </w:pPr>
            <w:r>
              <w:rPr>
                <w:rFonts w:ascii="Calibri" w:eastAsia="Times New Roman" w:hAnsi="Calibri" w:cs="Times New Roman"/>
                <w:sz w:val="20"/>
                <w:szCs w:val="20"/>
              </w:rPr>
              <w:t xml:space="preserve">Reporting of income when it is received rather than when earned may improve burden of reporting </w:t>
            </w:r>
            <w:r>
              <w:rPr>
                <w:rFonts w:ascii="Calibri" w:eastAsia="Times New Roman" w:hAnsi="Calibri" w:cs="Times New Roman"/>
                <w:sz w:val="20"/>
                <w:szCs w:val="20"/>
              </w:rPr>
              <w:lastRenderedPageBreak/>
              <w:t xml:space="preserve">for women with disabilities on Newstart (DSS PPp.23). </w:t>
            </w:r>
          </w:p>
        </w:tc>
        <w:tc>
          <w:tcPr>
            <w:tcW w:w="3117" w:type="dxa"/>
            <w:shd w:val="clear" w:color="auto" w:fill="FFFFFF" w:themeFill="background1"/>
          </w:tcPr>
          <w:p w14:paraId="6019ECC1" w14:textId="77777777" w:rsidR="00C8257E" w:rsidRPr="00502A64" w:rsidRDefault="00C8257E" w:rsidP="00555D83">
            <w:pPr>
              <w:rPr>
                <w:rFonts w:ascii="Calibri" w:eastAsia="Times New Roman" w:hAnsi="Calibri" w:cs="Calibri"/>
                <w:b/>
                <w:sz w:val="20"/>
                <w:szCs w:val="20"/>
                <w:lang w:eastAsia="en-GB"/>
              </w:rPr>
            </w:pPr>
          </w:p>
        </w:tc>
      </w:tr>
      <w:tr w:rsidR="00C8257E" w:rsidRPr="00502A64" w14:paraId="15695418" w14:textId="77777777" w:rsidTr="00555D83">
        <w:tc>
          <w:tcPr>
            <w:tcW w:w="9350" w:type="dxa"/>
            <w:gridSpan w:val="3"/>
            <w:shd w:val="clear" w:color="auto" w:fill="ED7D31"/>
          </w:tcPr>
          <w:p w14:paraId="5A6CA7AC" w14:textId="77777777" w:rsidR="00C8257E" w:rsidRPr="00502A64" w:rsidRDefault="00C8257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C2DC4" w:rsidRPr="00502A64" w14:paraId="1A385D41" w14:textId="77777777" w:rsidTr="00555D83">
        <w:tc>
          <w:tcPr>
            <w:tcW w:w="9350" w:type="dxa"/>
            <w:gridSpan w:val="3"/>
          </w:tcPr>
          <w:p w14:paraId="04CBD1B2" w14:textId="4DB469B7" w:rsidR="007C2DC4" w:rsidRPr="007A566F" w:rsidRDefault="007C2DC4" w:rsidP="007C2DC4">
            <w:pPr>
              <w:rPr>
                <w:rFonts w:ascii="Calibri" w:eastAsia="Times New Roman" w:hAnsi="Calibri" w:cs="Times New Roman"/>
                <w:sz w:val="20"/>
                <w:szCs w:val="20"/>
              </w:rPr>
            </w:pPr>
            <w:r>
              <w:rPr>
                <w:rFonts w:ascii="Calibri" w:eastAsia="Times New Roman" w:hAnsi="Calibri" w:cs="Times New Roman"/>
                <w:sz w:val="20"/>
                <w:szCs w:val="20"/>
                <w:lang w:val="en-US"/>
              </w:rPr>
              <w:t>A</w:t>
            </w:r>
            <w:r w:rsidRPr="00BA7213">
              <w:rPr>
                <w:rFonts w:ascii="Calibri" w:eastAsia="Times New Roman" w:hAnsi="Calibri" w:cs="Times New Roman"/>
                <w:sz w:val="20"/>
                <w:szCs w:val="20"/>
                <w:lang w:val="en-US"/>
              </w:rPr>
              <w:t>n impact analysis of all policies and programs be undertaken to ensure that they account for the intersection of a range of attributes, primarily gender, but also disability, race, culture, and rurality</w:t>
            </w:r>
            <w:r>
              <w:rPr>
                <w:rFonts w:ascii="Calibri" w:eastAsia="Times New Roman" w:hAnsi="Calibri" w:cs="Times New Roman"/>
                <w:sz w:val="20"/>
                <w:szCs w:val="20"/>
                <w:lang w:val="en-US"/>
              </w:rPr>
              <w:t>.</w:t>
            </w:r>
          </w:p>
        </w:tc>
      </w:tr>
      <w:tr w:rsidR="007C2DC4" w:rsidRPr="00502A64" w14:paraId="5BFBA0A1" w14:textId="77777777" w:rsidTr="00555D83">
        <w:trPr>
          <w:trHeight w:val="248"/>
        </w:trPr>
        <w:tc>
          <w:tcPr>
            <w:tcW w:w="9350" w:type="dxa"/>
            <w:gridSpan w:val="3"/>
            <w:shd w:val="clear" w:color="auto" w:fill="FDE5CC" w:themeFill="accent1" w:themeFillTint="33"/>
          </w:tcPr>
          <w:p w14:paraId="7F5E33F1" w14:textId="77777777" w:rsidR="007C2DC4" w:rsidRPr="00502A64" w:rsidRDefault="007C2DC4" w:rsidP="007C2DC4">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C2DC4" w:rsidRPr="00502A64" w14:paraId="1C2131F9" w14:textId="77777777" w:rsidTr="00555D83">
        <w:trPr>
          <w:trHeight w:val="248"/>
        </w:trPr>
        <w:tc>
          <w:tcPr>
            <w:tcW w:w="3116" w:type="dxa"/>
            <w:shd w:val="clear" w:color="auto" w:fill="FFFFFF" w:themeFill="background1"/>
          </w:tcPr>
          <w:p w14:paraId="5F4E38E5"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6E9A56C"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C7C0037"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C2DC4" w:rsidRPr="00502A64" w14:paraId="77A0F6AD" w14:textId="77777777" w:rsidTr="007C2DC4">
        <w:trPr>
          <w:trHeight w:val="247"/>
        </w:trPr>
        <w:tc>
          <w:tcPr>
            <w:tcW w:w="3116" w:type="dxa"/>
            <w:shd w:val="clear" w:color="auto" w:fill="FFFFFF" w:themeFill="background1"/>
          </w:tcPr>
          <w:p w14:paraId="4086D7D4" w14:textId="77777777" w:rsidR="007C2DC4" w:rsidRPr="00502A64" w:rsidRDefault="007C2DC4" w:rsidP="007C2DC4">
            <w:pPr>
              <w:rPr>
                <w:rFonts w:ascii="Calibri" w:eastAsia="Times New Roman" w:hAnsi="Calibri" w:cs="Calibri"/>
                <w:b/>
                <w:sz w:val="20"/>
                <w:szCs w:val="20"/>
                <w:lang w:eastAsia="en-GB"/>
              </w:rPr>
            </w:pPr>
          </w:p>
          <w:p w14:paraId="1012A69A" w14:textId="77777777" w:rsidR="007C2DC4" w:rsidRPr="00502A64" w:rsidRDefault="007C2DC4" w:rsidP="007C2DC4">
            <w:pPr>
              <w:rPr>
                <w:rFonts w:ascii="Calibri" w:eastAsia="Times New Roman" w:hAnsi="Calibri" w:cs="Calibri"/>
                <w:b/>
                <w:sz w:val="20"/>
                <w:szCs w:val="20"/>
                <w:lang w:eastAsia="en-GB"/>
              </w:rPr>
            </w:pPr>
          </w:p>
          <w:p w14:paraId="368E1978" w14:textId="77777777" w:rsidR="007C2DC4" w:rsidRPr="00502A64" w:rsidRDefault="007C2DC4" w:rsidP="007C2DC4">
            <w:pPr>
              <w:rPr>
                <w:rFonts w:ascii="Calibri" w:eastAsia="Times New Roman" w:hAnsi="Calibri" w:cs="Calibri"/>
                <w:b/>
                <w:sz w:val="20"/>
                <w:szCs w:val="20"/>
                <w:lang w:eastAsia="en-GB"/>
              </w:rPr>
            </w:pPr>
          </w:p>
          <w:p w14:paraId="0473DAED" w14:textId="77777777" w:rsidR="007C2DC4" w:rsidRPr="00502A64" w:rsidRDefault="007C2DC4" w:rsidP="007C2DC4">
            <w:pPr>
              <w:rPr>
                <w:rFonts w:ascii="Calibri" w:eastAsia="Times New Roman" w:hAnsi="Calibri" w:cs="Calibri"/>
                <w:b/>
                <w:sz w:val="20"/>
                <w:szCs w:val="20"/>
                <w:lang w:eastAsia="en-GB"/>
              </w:rPr>
            </w:pPr>
          </w:p>
          <w:p w14:paraId="6BA270C4" w14:textId="77777777" w:rsidR="007C2DC4" w:rsidRPr="00502A64" w:rsidRDefault="007C2DC4" w:rsidP="007C2DC4">
            <w:pPr>
              <w:rPr>
                <w:rFonts w:ascii="Calibri" w:eastAsia="Times New Roman" w:hAnsi="Calibri" w:cs="Calibri"/>
                <w:b/>
                <w:sz w:val="20"/>
                <w:szCs w:val="20"/>
                <w:lang w:eastAsia="en-GB"/>
              </w:rPr>
            </w:pPr>
          </w:p>
        </w:tc>
        <w:tc>
          <w:tcPr>
            <w:tcW w:w="3117" w:type="dxa"/>
            <w:shd w:val="clear" w:color="auto" w:fill="FFFFFF" w:themeFill="background1"/>
          </w:tcPr>
          <w:p w14:paraId="51CCF1A8" w14:textId="4B061C54" w:rsidR="007C2DC4" w:rsidRPr="00502A64" w:rsidRDefault="007C2DC4" w:rsidP="007C2DC4">
            <w:pPr>
              <w:rPr>
                <w:rFonts w:ascii="Calibri" w:eastAsia="Times New Roman" w:hAnsi="Calibri" w:cs="Calibri"/>
                <w:b/>
                <w:sz w:val="20"/>
                <w:szCs w:val="20"/>
                <w:lang w:eastAsia="en-GB"/>
              </w:rPr>
            </w:pPr>
            <w:r>
              <w:rPr>
                <w:rFonts w:ascii="Calibri" w:eastAsia="Times New Roman" w:hAnsi="Calibri" w:cs="Times New Roman"/>
                <w:sz w:val="20"/>
                <w:szCs w:val="20"/>
              </w:rPr>
              <w:t>The Budget has committed $14.1M for a Social Impact Investment trial (DSS PP p.24) but this is narrow in scope and does not apply to disability policy and outcomes</w:t>
            </w:r>
          </w:p>
        </w:tc>
        <w:tc>
          <w:tcPr>
            <w:tcW w:w="3117" w:type="dxa"/>
            <w:shd w:val="clear" w:color="auto" w:fill="FFFFFF" w:themeFill="background1"/>
          </w:tcPr>
          <w:p w14:paraId="3E5FADF2" w14:textId="77777777" w:rsidR="007C2DC4" w:rsidRPr="00502A64" w:rsidRDefault="007C2DC4" w:rsidP="007C2DC4">
            <w:pPr>
              <w:rPr>
                <w:rFonts w:ascii="Calibri" w:eastAsia="Times New Roman" w:hAnsi="Calibri" w:cs="Calibri"/>
                <w:b/>
                <w:sz w:val="20"/>
                <w:szCs w:val="20"/>
                <w:lang w:eastAsia="en-GB"/>
              </w:rPr>
            </w:pPr>
          </w:p>
        </w:tc>
      </w:tr>
      <w:tr w:rsidR="007C2DC4" w:rsidRPr="00502A64" w14:paraId="0A1B5D99" w14:textId="77777777" w:rsidTr="00555D83">
        <w:tc>
          <w:tcPr>
            <w:tcW w:w="9350" w:type="dxa"/>
            <w:gridSpan w:val="3"/>
            <w:shd w:val="clear" w:color="auto" w:fill="ED7D31"/>
          </w:tcPr>
          <w:p w14:paraId="75243BE9" w14:textId="77777777" w:rsidR="007C2DC4" w:rsidRPr="00502A64" w:rsidRDefault="007C2DC4" w:rsidP="007C2DC4">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7C2DC4" w:rsidRPr="00502A64" w14:paraId="464DDBA8" w14:textId="77777777" w:rsidTr="00555D83">
        <w:tc>
          <w:tcPr>
            <w:tcW w:w="9350" w:type="dxa"/>
            <w:gridSpan w:val="3"/>
          </w:tcPr>
          <w:p w14:paraId="56E2651D" w14:textId="0772B9C2" w:rsidR="007C2DC4" w:rsidRPr="00502A64" w:rsidRDefault="00CE1711" w:rsidP="007C2DC4">
            <w:pPr>
              <w:rPr>
                <w:rFonts w:cstheme="minorHAnsi"/>
                <w:sz w:val="20"/>
                <w:szCs w:val="20"/>
              </w:rPr>
            </w:pPr>
            <w:r>
              <w:rPr>
                <w:rFonts w:ascii="Calibri" w:eastAsia="Times New Roman" w:hAnsi="Calibri" w:cs="Times New Roman"/>
                <w:sz w:val="20"/>
                <w:szCs w:val="20"/>
                <w:lang w:val="en-US"/>
              </w:rPr>
              <w:t>T</w:t>
            </w:r>
            <w:r w:rsidRPr="00BA7213">
              <w:rPr>
                <w:rFonts w:ascii="Calibri" w:eastAsia="Times New Roman" w:hAnsi="Calibri" w:cs="Times New Roman"/>
                <w:sz w:val="20"/>
                <w:szCs w:val="20"/>
                <w:lang w:val="en-US"/>
              </w:rPr>
              <w:t>he scope of the National Plan to Reduce Violence Against Women and Children include all settings where women with disabilities experience violence, abuse and neglect</w:t>
            </w:r>
            <w:r>
              <w:rPr>
                <w:rFonts w:ascii="Calibri" w:eastAsia="Times New Roman" w:hAnsi="Calibri" w:cs="Times New Roman"/>
                <w:sz w:val="20"/>
                <w:szCs w:val="20"/>
                <w:lang w:val="en-US"/>
              </w:rPr>
              <w:t>.</w:t>
            </w:r>
          </w:p>
        </w:tc>
      </w:tr>
      <w:tr w:rsidR="007C2DC4" w:rsidRPr="00502A64" w14:paraId="30255883" w14:textId="77777777" w:rsidTr="00555D83">
        <w:trPr>
          <w:trHeight w:val="248"/>
        </w:trPr>
        <w:tc>
          <w:tcPr>
            <w:tcW w:w="9350" w:type="dxa"/>
            <w:gridSpan w:val="3"/>
            <w:shd w:val="clear" w:color="auto" w:fill="FDE5CC" w:themeFill="accent1" w:themeFillTint="33"/>
          </w:tcPr>
          <w:p w14:paraId="33F098DE"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C2DC4" w:rsidRPr="00502A64" w14:paraId="6DB2ECB6" w14:textId="77777777" w:rsidTr="00555D83">
        <w:trPr>
          <w:trHeight w:val="248"/>
        </w:trPr>
        <w:tc>
          <w:tcPr>
            <w:tcW w:w="3116" w:type="dxa"/>
            <w:shd w:val="clear" w:color="auto" w:fill="FFFFFF" w:themeFill="background1"/>
          </w:tcPr>
          <w:p w14:paraId="23C16798"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DAFE911"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08D0983"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C2DC4" w:rsidRPr="00502A64" w14:paraId="45BB3645" w14:textId="77777777" w:rsidTr="00555D83">
        <w:trPr>
          <w:trHeight w:val="247"/>
        </w:trPr>
        <w:tc>
          <w:tcPr>
            <w:tcW w:w="3116" w:type="dxa"/>
            <w:shd w:val="clear" w:color="auto" w:fill="FFFFFF" w:themeFill="background1"/>
          </w:tcPr>
          <w:p w14:paraId="042FE15B" w14:textId="77777777" w:rsidR="007C2DC4" w:rsidRPr="00502A64" w:rsidRDefault="007C2DC4" w:rsidP="007C2DC4">
            <w:pPr>
              <w:rPr>
                <w:rFonts w:ascii="Calibri" w:eastAsia="Times New Roman" w:hAnsi="Calibri" w:cs="Calibri"/>
                <w:b/>
                <w:sz w:val="20"/>
                <w:szCs w:val="20"/>
                <w:lang w:eastAsia="en-GB"/>
              </w:rPr>
            </w:pPr>
          </w:p>
          <w:p w14:paraId="3BE50E71" w14:textId="77777777" w:rsidR="007C2DC4" w:rsidRPr="00502A64" w:rsidRDefault="007C2DC4" w:rsidP="007C2DC4">
            <w:pPr>
              <w:rPr>
                <w:rFonts w:ascii="Calibri" w:eastAsia="Times New Roman" w:hAnsi="Calibri" w:cs="Calibri"/>
                <w:b/>
                <w:sz w:val="20"/>
                <w:szCs w:val="20"/>
                <w:lang w:eastAsia="en-GB"/>
              </w:rPr>
            </w:pPr>
          </w:p>
          <w:p w14:paraId="5D67C93C" w14:textId="77777777" w:rsidR="007C2DC4" w:rsidRPr="00502A64" w:rsidRDefault="007C2DC4" w:rsidP="007C2DC4">
            <w:pPr>
              <w:rPr>
                <w:rFonts w:ascii="Calibri" w:eastAsia="Times New Roman" w:hAnsi="Calibri" w:cs="Calibri"/>
                <w:b/>
                <w:sz w:val="20"/>
                <w:szCs w:val="20"/>
                <w:lang w:eastAsia="en-GB"/>
              </w:rPr>
            </w:pPr>
          </w:p>
          <w:p w14:paraId="719FE7DF" w14:textId="77777777" w:rsidR="007C2DC4" w:rsidRPr="00502A64" w:rsidRDefault="007C2DC4" w:rsidP="007C2DC4">
            <w:pPr>
              <w:rPr>
                <w:rFonts w:ascii="Calibri" w:eastAsia="Times New Roman" w:hAnsi="Calibri" w:cs="Calibri"/>
                <w:b/>
                <w:sz w:val="20"/>
                <w:szCs w:val="20"/>
                <w:lang w:eastAsia="en-GB"/>
              </w:rPr>
            </w:pPr>
          </w:p>
          <w:p w14:paraId="1E8F577D" w14:textId="77777777" w:rsidR="007C2DC4" w:rsidRPr="00502A64" w:rsidRDefault="007C2DC4" w:rsidP="007C2DC4">
            <w:pPr>
              <w:rPr>
                <w:rFonts w:ascii="Calibri" w:eastAsia="Times New Roman" w:hAnsi="Calibri" w:cs="Calibri"/>
                <w:b/>
                <w:sz w:val="20"/>
                <w:szCs w:val="20"/>
                <w:lang w:eastAsia="en-GB"/>
              </w:rPr>
            </w:pPr>
          </w:p>
        </w:tc>
        <w:tc>
          <w:tcPr>
            <w:tcW w:w="3117" w:type="dxa"/>
            <w:shd w:val="clear" w:color="auto" w:fill="FDE5CC" w:themeFill="accent1" w:themeFillTint="33"/>
          </w:tcPr>
          <w:p w14:paraId="593BFBEE" w14:textId="77777777" w:rsidR="00CE1711" w:rsidRDefault="00CE1711" w:rsidP="00CE1711">
            <w:pPr>
              <w:rPr>
                <w:rFonts w:ascii="Calibri" w:eastAsia="Times New Roman" w:hAnsi="Calibri" w:cs="Times New Roman"/>
                <w:sz w:val="20"/>
                <w:szCs w:val="20"/>
              </w:rPr>
            </w:pPr>
            <w:r>
              <w:rPr>
                <w:rFonts w:ascii="Calibri" w:eastAsia="Times New Roman" w:hAnsi="Calibri" w:cs="Times New Roman"/>
                <w:sz w:val="20"/>
                <w:szCs w:val="20"/>
              </w:rPr>
              <w:t>Funding for the 4</w:t>
            </w:r>
            <w:r w:rsidRPr="009C24B1">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Action Plan of the National Plan has been announced previously. The $328 million is insufficient to enable supports for legal services and women’s services to meet the needs of women, including women with disabilities, including $263.5M to fund prevention strategies and frontline services initiatives.</w:t>
            </w:r>
          </w:p>
          <w:p w14:paraId="6D3CB805" w14:textId="77777777" w:rsidR="00CE1711" w:rsidRDefault="00CE1711" w:rsidP="00CE1711">
            <w:pPr>
              <w:rPr>
                <w:rFonts w:ascii="Calibri" w:eastAsia="Times New Roman" w:hAnsi="Calibri" w:cs="Times New Roman"/>
                <w:sz w:val="20"/>
                <w:szCs w:val="20"/>
              </w:rPr>
            </w:pPr>
            <w:r>
              <w:rPr>
                <w:rFonts w:ascii="Calibri" w:eastAsia="Times New Roman" w:hAnsi="Calibri" w:cs="Times New Roman"/>
                <w:sz w:val="20"/>
                <w:szCs w:val="20"/>
              </w:rPr>
              <w:t>The only gendered information in the Budget relates to the funding for men’s behaviour change. The amount for that is separate to the National Plan and is still inadequate.</w:t>
            </w:r>
          </w:p>
          <w:p w14:paraId="7C1C2B73" w14:textId="55A43C84" w:rsidR="007C2DC4" w:rsidRPr="00502A64" w:rsidRDefault="00CE1711" w:rsidP="00CE1711">
            <w:pPr>
              <w:rPr>
                <w:rFonts w:ascii="Calibri" w:eastAsia="Times New Roman" w:hAnsi="Calibri" w:cs="Calibri"/>
                <w:b/>
                <w:sz w:val="20"/>
                <w:szCs w:val="20"/>
                <w:lang w:eastAsia="en-GB"/>
              </w:rPr>
            </w:pPr>
            <w:r>
              <w:rPr>
                <w:rFonts w:ascii="Calibri" w:eastAsia="Times New Roman" w:hAnsi="Calibri" w:cs="Times New Roman"/>
                <w:sz w:val="20"/>
                <w:szCs w:val="20"/>
              </w:rPr>
              <w:t>The scope of the National Plan has not been formally changed to include women in institutional settings.</w:t>
            </w:r>
          </w:p>
        </w:tc>
        <w:tc>
          <w:tcPr>
            <w:tcW w:w="3117" w:type="dxa"/>
            <w:shd w:val="clear" w:color="auto" w:fill="FFFFFF" w:themeFill="background1"/>
          </w:tcPr>
          <w:p w14:paraId="5FBBE132" w14:textId="77777777" w:rsidR="007C2DC4" w:rsidRPr="00502A64" w:rsidRDefault="007C2DC4" w:rsidP="007C2DC4">
            <w:pPr>
              <w:rPr>
                <w:rFonts w:ascii="Calibri" w:eastAsia="Times New Roman" w:hAnsi="Calibri" w:cs="Calibri"/>
                <w:b/>
                <w:sz w:val="20"/>
                <w:szCs w:val="20"/>
                <w:lang w:eastAsia="en-GB"/>
              </w:rPr>
            </w:pPr>
          </w:p>
        </w:tc>
      </w:tr>
      <w:bookmarkEnd w:id="0"/>
      <w:tr w:rsidR="007C2DC4" w:rsidRPr="00502A64" w14:paraId="27186F1E" w14:textId="77777777" w:rsidTr="00555D83">
        <w:tc>
          <w:tcPr>
            <w:tcW w:w="9350" w:type="dxa"/>
            <w:gridSpan w:val="3"/>
            <w:shd w:val="clear" w:color="auto" w:fill="ED7D31"/>
          </w:tcPr>
          <w:p w14:paraId="3A1DDF9D" w14:textId="77777777" w:rsidR="007C2DC4" w:rsidRPr="00502A64" w:rsidRDefault="007C2DC4" w:rsidP="007C2DC4">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C2DC4" w:rsidRPr="00502A64" w14:paraId="0B19635A" w14:textId="77777777" w:rsidTr="00555D83">
        <w:tc>
          <w:tcPr>
            <w:tcW w:w="9350" w:type="dxa"/>
            <w:gridSpan w:val="3"/>
          </w:tcPr>
          <w:p w14:paraId="6F6B86A5" w14:textId="06190D42" w:rsidR="007C2DC4" w:rsidRPr="00502A64" w:rsidRDefault="00CE1711" w:rsidP="007C2DC4">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BA7213">
              <w:rPr>
                <w:rFonts w:ascii="Calibri" w:eastAsia="Times New Roman" w:hAnsi="Calibri" w:cs="Times New Roman"/>
                <w:sz w:val="20"/>
                <w:szCs w:val="20"/>
                <w:lang w:val="en-US"/>
              </w:rPr>
              <w:t>he Royal Commission into the abuse, violence and neglect of people with disabilities be gender aware, adequately resourced, and have an allowable time frame beyond a single election cycle.</w:t>
            </w:r>
          </w:p>
        </w:tc>
      </w:tr>
      <w:tr w:rsidR="007C2DC4" w:rsidRPr="00502A64" w14:paraId="29AE09CB" w14:textId="77777777" w:rsidTr="00555D83">
        <w:trPr>
          <w:trHeight w:val="248"/>
        </w:trPr>
        <w:tc>
          <w:tcPr>
            <w:tcW w:w="9350" w:type="dxa"/>
            <w:gridSpan w:val="3"/>
            <w:shd w:val="clear" w:color="auto" w:fill="FDE5CC" w:themeFill="accent1" w:themeFillTint="33"/>
          </w:tcPr>
          <w:p w14:paraId="68052D77"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C2DC4" w:rsidRPr="00502A64" w14:paraId="005B7CE2" w14:textId="77777777" w:rsidTr="00555D83">
        <w:trPr>
          <w:trHeight w:val="248"/>
        </w:trPr>
        <w:tc>
          <w:tcPr>
            <w:tcW w:w="3116" w:type="dxa"/>
            <w:shd w:val="clear" w:color="auto" w:fill="FFFFFF" w:themeFill="background1"/>
          </w:tcPr>
          <w:p w14:paraId="14BA893D"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32FB07E"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792A89D"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C2DC4" w:rsidRPr="00502A64" w14:paraId="4E36D64B" w14:textId="77777777" w:rsidTr="004B34EB">
        <w:trPr>
          <w:trHeight w:val="247"/>
        </w:trPr>
        <w:tc>
          <w:tcPr>
            <w:tcW w:w="3116" w:type="dxa"/>
            <w:shd w:val="clear" w:color="auto" w:fill="FFFFFF" w:themeFill="background1"/>
          </w:tcPr>
          <w:p w14:paraId="50D2A884" w14:textId="77777777" w:rsidR="007C2DC4" w:rsidRPr="00502A64" w:rsidRDefault="007C2DC4" w:rsidP="007C2DC4">
            <w:pPr>
              <w:rPr>
                <w:rFonts w:ascii="Calibri" w:eastAsia="Times New Roman" w:hAnsi="Calibri" w:cs="Calibri"/>
                <w:b/>
                <w:sz w:val="20"/>
                <w:szCs w:val="20"/>
                <w:lang w:eastAsia="en-GB"/>
              </w:rPr>
            </w:pPr>
          </w:p>
          <w:p w14:paraId="3C97B58F" w14:textId="77777777" w:rsidR="007C2DC4" w:rsidRPr="00502A64" w:rsidRDefault="007C2DC4" w:rsidP="007C2DC4">
            <w:pPr>
              <w:rPr>
                <w:rFonts w:ascii="Calibri" w:eastAsia="Times New Roman" w:hAnsi="Calibri" w:cs="Calibri"/>
                <w:b/>
                <w:sz w:val="20"/>
                <w:szCs w:val="20"/>
                <w:lang w:eastAsia="en-GB"/>
              </w:rPr>
            </w:pPr>
          </w:p>
          <w:p w14:paraId="231CFC81" w14:textId="77777777" w:rsidR="007C2DC4" w:rsidRPr="00502A64" w:rsidRDefault="007C2DC4" w:rsidP="007C2DC4">
            <w:pPr>
              <w:rPr>
                <w:rFonts w:ascii="Calibri" w:eastAsia="Times New Roman" w:hAnsi="Calibri" w:cs="Calibri"/>
                <w:b/>
                <w:sz w:val="20"/>
                <w:szCs w:val="20"/>
                <w:lang w:eastAsia="en-GB"/>
              </w:rPr>
            </w:pPr>
          </w:p>
        </w:tc>
        <w:tc>
          <w:tcPr>
            <w:tcW w:w="3117" w:type="dxa"/>
            <w:shd w:val="clear" w:color="auto" w:fill="F9B268" w:themeFill="accent1" w:themeFillTint="99"/>
          </w:tcPr>
          <w:p w14:paraId="36C330AF" w14:textId="77777777" w:rsidR="00CE1711" w:rsidRDefault="00CE1711" w:rsidP="00CE1711">
            <w:pPr>
              <w:rPr>
                <w:rFonts w:ascii="Calibri" w:eastAsia="Times New Roman" w:hAnsi="Calibri" w:cs="Times New Roman"/>
                <w:sz w:val="20"/>
                <w:szCs w:val="20"/>
              </w:rPr>
            </w:pPr>
            <w:r>
              <w:rPr>
                <w:rFonts w:ascii="Calibri" w:eastAsia="Times New Roman" w:hAnsi="Calibri" w:cs="Times New Roman"/>
                <w:sz w:val="20"/>
                <w:szCs w:val="20"/>
              </w:rPr>
              <w:t>The $527.9M earmarked for the Royal Commission over 5 years is a significant amount and establishes a realistic timeframe,</w:t>
            </w:r>
          </w:p>
          <w:p w14:paraId="792F8582" w14:textId="77777777" w:rsidR="00CE1711" w:rsidRDefault="00CE1711" w:rsidP="00CE1711">
            <w:pPr>
              <w:rPr>
                <w:rFonts w:ascii="Calibri" w:eastAsia="Times New Roman" w:hAnsi="Calibri" w:cs="Times New Roman"/>
                <w:sz w:val="20"/>
                <w:szCs w:val="20"/>
              </w:rPr>
            </w:pPr>
            <w:r>
              <w:rPr>
                <w:rFonts w:ascii="Calibri" w:eastAsia="Times New Roman" w:hAnsi="Calibri" w:cs="Times New Roman"/>
                <w:sz w:val="20"/>
                <w:szCs w:val="20"/>
              </w:rPr>
              <w:t xml:space="preserve">Funding support services of $148.8M to assist and provide counselling for women with disabilities to appear as witnesses is also good recognition of the challenges. </w:t>
            </w:r>
          </w:p>
          <w:p w14:paraId="2A0F9444" w14:textId="3DF19230" w:rsidR="007C2DC4" w:rsidRPr="00502A64" w:rsidRDefault="00CE1711" w:rsidP="00CE1711">
            <w:pPr>
              <w:rPr>
                <w:rFonts w:ascii="Calibri" w:eastAsia="Times New Roman" w:hAnsi="Calibri" w:cs="Calibri"/>
                <w:b/>
                <w:sz w:val="20"/>
                <w:szCs w:val="20"/>
                <w:lang w:eastAsia="en-GB"/>
              </w:rPr>
            </w:pPr>
            <w:r>
              <w:rPr>
                <w:rFonts w:ascii="Calibri" w:eastAsia="Times New Roman" w:hAnsi="Calibri" w:cs="Times New Roman"/>
                <w:sz w:val="20"/>
                <w:szCs w:val="20"/>
              </w:rPr>
              <w:t xml:space="preserve">However, there is nothing to indicate that the support money </w:t>
            </w:r>
            <w:r>
              <w:rPr>
                <w:rFonts w:ascii="Calibri" w:eastAsia="Times New Roman" w:hAnsi="Calibri" w:cs="Times New Roman"/>
                <w:sz w:val="20"/>
                <w:szCs w:val="20"/>
              </w:rPr>
              <w:lastRenderedPageBreak/>
              <w:t>will be allocated in a way that does not penalise women.</w:t>
            </w:r>
          </w:p>
        </w:tc>
        <w:tc>
          <w:tcPr>
            <w:tcW w:w="3117" w:type="dxa"/>
            <w:shd w:val="clear" w:color="auto" w:fill="FFFFFF" w:themeFill="background1"/>
          </w:tcPr>
          <w:p w14:paraId="32B7BF68" w14:textId="77777777" w:rsidR="007C2DC4" w:rsidRPr="00502A64" w:rsidRDefault="007C2DC4" w:rsidP="007C2DC4">
            <w:pPr>
              <w:rPr>
                <w:rFonts w:ascii="Calibri" w:eastAsia="Times New Roman" w:hAnsi="Calibri" w:cs="Calibri"/>
                <w:b/>
                <w:sz w:val="20"/>
                <w:szCs w:val="20"/>
                <w:lang w:eastAsia="en-GB"/>
              </w:rPr>
            </w:pPr>
          </w:p>
        </w:tc>
      </w:tr>
      <w:tr w:rsidR="007C2DC4" w:rsidRPr="00502A64" w14:paraId="137A935C" w14:textId="77777777" w:rsidTr="00555D83">
        <w:tc>
          <w:tcPr>
            <w:tcW w:w="9350" w:type="dxa"/>
            <w:gridSpan w:val="3"/>
            <w:shd w:val="clear" w:color="auto" w:fill="ED7D31"/>
          </w:tcPr>
          <w:p w14:paraId="28C7C919" w14:textId="77777777" w:rsidR="007C2DC4" w:rsidRPr="00502A64" w:rsidRDefault="007C2DC4" w:rsidP="007C2DC4">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7C2DC4" w:rsidRPr="00502A64" w14:paraId="59FD7496" w14:textId="77777777" w:rsidTr="00555D83">
        <w:tc>
          <w:tcPr>
            <w:tcW w:w="9350" w:type="dxa"/>
            <w:gridSpan w:val="3"/>
          </w:tcPr>
          <w:p w14:paraId="6073EAA4" w14:textId="77133E55" w:rsidR="007C2DC4" w:rsidRPr="00502A64" w:rsidRDefault="004B34EB" w:rsidP="007C2DC4">
            <w:pPr>
              <w:rPr>
                <w:rFonts w:ascii="Calibri" w:eastAsia="Times New Roman" w:hAnsi="Calibri" w:cs="Calibri"/>
                <w:b/>
                <w:sz w:val="20"/>
                <w:szCs w:val="20"/>
                <w:lang w:eastAsia="en-GB"/>
              </w:rPr>
            </w:pPr>
            <w:r>
              <w:rPr>
                <w:rFonts w:ascii="Calibri" w:eastAsia="Times New Roman" w:hAnsi="Calibri" w:cs="Times New Roman"/>
                <w:sz w:val="20"/>
                <w:szCs w:val="20"/>
              </w:rPr>
              <w:t>National Disability Insurance Agency</w:t>
            </w:r>
            <w:r w:rsidR="007C3159">
              <w:rPr>
                <w:rFonts w:ascii="Calibri" w:eastAsia="Times New Roman" w:hAnsi="Calibri" w:cs="Times New Roman"/>
                <w:sz w:val="20"/>
                <w:szCs w:val="20"/>
              </w:rPr>
              <w:t>.</w:t>
            </w:r>
          </w:p>
        </w:tc>
      </w:tr>
      <w:tr w:rsidR="007C2DC4" w:rsidRPr="00502A64" w14:paraId="09E29158" w14:textId="77777777" w:rsidTr="00555D83">
        <w:trPr>
          <w:trHeight w:val="248"/>
        </w:trPr>
        <w:tc>
          <w:tcPr>
            <w:tcW w:w="9350" w:type="dxa"/>
            <w:gridSpan w:val="3"/>
            <w:shd w:val="clear" w:color="auto" w:fill="FDE5CC" w:themeFill="accent1" w:themeFillTint="33"/>
          </w:tcPr>
          <w:p w14:paraId="6B6E849E"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7C2DC4" w:rsidRPr="00502A64" w14:paraId="39E144C2" w14:textId="77777777" w:rsidTr="00555D83">
        <w:trPr>
          <w:trHeight w:val="248"/>
        </w:trPr>
        <w:tc>
          <w:tcPr>
            <w:tcW w:w="3116" w:type="dxa"/>
            <w:shd w:val="clear" w:color="auto" w:fill="FFFFFF" w:themeFill="background1"/>
          </w:tcPr>
          <w:p w14:paraId="53EE9ED4"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4501E42"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0A58B64" w14:textId="77777777" w:rsidR="007C2DC4" w:rsidRPr="00502A64" w:rsidRDefault="007C2DC4" w:rsidP="007C2DC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7C2DC4" w:rsidRPr="00502A64" w14:paraId="4C42254D" w14:textId="77777777" w:rsidTr="007C3159">
        <w:trPr>
          <w:trHeight w:val="247"/>
        </w:trPr>
        <w:tc>
          <w:tcPr>
            <w:tcW w:w="3116" w:type="dxa"/>
            <w:shd w:val="clear" w:color="auto" w:fill="FFFFFF" w:themeFill="background1"/>
          </w:tcPr>
          <w:p w14:paraId="1217A09E" w14:textId="77777777" w:rsidR="007C2DC4" w:rsidRPr="00502A64" w:rsidRDefault="007C2DC4" w:rsidP="007C2DC4">
            <w:pPr>
              <w:rPr>
                <w:rFonts w:ascii="Calibri" w:eastAsia="Times New Roman" w:hAnsi="Calibri" w:cs="Calibri"/>
                <w:b/>
                <w:sz w:val="20"/>
                <w:szCs w:val="20"/>
                <w:lang w:eastAsia="en-GB"/>
              </w:rPr>
            </w:pPr>
          </w:p>
          <w:p w14:paraId="2F799495" w14:textId="77777777" w:rsidR="007C2DC4" w:rsidRPr="00502A64" w:rsidRDefault="007C2DC4" w:rsidP="007C2DC4">
            <w:pPr>
              <w:rPr>
                <w:rFonts w:ascii="Calibri" w:eastAsia="Times New Roman" w:hAnsi="Calibri" w:cs="Calibri"/>
                <w:b/>
                <w:sz w:val="20"/>
                <w:szCs w:val="20"/>
                <w:lang w:eastAsia="en-GB"/>
              </w:rPr>
            </w:pPr>
          </w:p>
        </w:tc>
        <w:tc>
          <w:tcPr>
            <w:tcW w:w="3117" w:type="dxa"/>
            <w:shd w:val="clear" w:color="auto" w:fill="FDE5CC" w:themeFill="accent1" w:themeFillTint="33"/>
          </w:tcPr>
          <w:p w14:paraId="034FCC42" w14:textId="77777777" w:rsidR="007C3159" w:rsidRDefault="007C3159" w:rsidP="007C3159">
            <w:pPr>
              <w:rPr>
                <w:rFonts w:ascii="Calibri" w:eastAsia="Times New Roman" w:hAnsi="Calibri" w:cs="Times New Roman"/>
                <w:sz w:val="20"/>
                <w:szCs w:val="20"/>
              </w:rPr>
            </w:pPr>
            <w:r>
              <w:rPr>
                <w:rFonts w:ascii="Calibri" w:eastAsia="Times New Roman" w:hAnsi="Calibri" w:cs="Times New Roman"/>
                <w:sz w:val="20"/>
                <w:szCs w:val="20"/>
              </w:rPr>
              <w:t>The underspend in money allocated to the NDIS was partly addressed pre-budget with the allocation of $800M approx. to increase service provision rates</w:t>
            </w:r>
          </w:p>
          <w:p w14:paraId="275BACB6" w14:textId="77777777" w:rsidR="007C3159" w:rsidRDefault="007C3159" w:rsidP="007C3159">
            <w:pPr>
              <w:rPr>
                <w:rFonts w:ascii="Calibri" w:eastAsia="Times New Roman" w:hAnsi="Calibri" w:cs="Times New Roman"/>
                <w:sz w:val="20"/>
                <w:szCs w:val="20"/>
              </w:rPr>
            </w:pPr>
            <w:r>
              <w:rPr>
                <w:rFonts w:ascii="Calibri" w:eastAsia="Times New Roman" w:hAnsi="Calibri" w:cs="Times New Roman"/>
                <w:sz w:val="20"/>
                <w:szCs w:val="20"/>
              </w:rPr>
              <w:t>The underspend in people’s plans is not addressed. The staffing level freeze is also not addressed.</w:t>
            </w:r>
          </w:p>
          <w:p w14:paraId="6645E108" w14:textId="02FD8675" w:rsidR="007C2DC4" w:rsidRPr="00502A64" w:rsidRDefault="007C3159" w:rsidP="007C3159">
            <w:pPr>
              <w:rPr>
                <w:rFonts w:ascii="Calibri" w:eastAsia="Times New Roman" w:hAnsi="Calibri" w:cs="Calibri"/>
                <w:b/>
                <w:sz w:val="20"/>
                <w:szCs w:val="20"/>
                <w:lang w:eastAsia="en-GB"/>
              </w:rPr>
            </w:pPr>
            <w:r>
              <w:rPr>
                <w:rFonts w:ascii="Calibri" w:eastAsia="Times New Roman" w:hAnsi="Calibri" w:cs="Times New Roman"/>
                <w:sz w:val="20"/>
                <w:szCs w:val="20"/>
              </w:rPr>
              <w:t>The current underspend accounts for approximately one quarter of the projected 2018-19 surplus.</w:t>
            </w:r>
          </w:p>
        </w:tc>
        <w:tc>
          <w:tcPr>
            <w:tcW w:w="3117" w:type="dxa"/>
            <w:shd w:val="clear" w:color="auto" w:fill="FFFFFF" w:themeFill="background1"/>
          </w:tcPr>
          <w:p w14:paraId="21D6E5FF" w14:textId="77777777" w:rsidR="007C2DC4" w:rsidRPr="00502A64" w:rsidRDefault="007C2DC4" w:rsidP="007C2DC4">
            <w:pPr>
              <w:rPr>
                <w:rFonts w:ascii="Calibri" w:eastAsia="Times New Roman" w:hAnsi="Calibri" w:cs="Calibri"/>
                <w:b/>
                <w:sz w:val="20"/>
                <w:szCs w:val="20"/>
                <w:lang w:eastAsia="en-GB"/>
              </w:rPr>
            </w:pPr>
          </w:p>
        </w:tc>
      </w:tr>
    </w:tbl>
    <w:p w14:paraId="2DA27204" w14:textId="77777777" w:rsidR="00C8257E" w:rsidRDefault="00C8257E" w:rsidP="00C8257E"/>
    <w:tbl>
      <w:tblPr>
        <w:tblStyle w:val="ListTable4-Accent21"/>
        <w:tblW w:w="0" w:type="auto"/>
        <w:tblLook w:val="04A0" w:firstRow="1" w:lastRow="0" w:firstColumn="1" w:lastColumn="0" w:noHBand="0" w:noVBand="1"/>
      </w:tblPr>
      <w:tblGrid>
        <w:gridCol w:w="3102"/>
        <w:gridCol w:w="1183"/>
        <w:gridCol w:w="5065"/>
      </w:tblGrid>
      <w:tr w:rsidR="00C8257E" w:rsidRPr="00502A64" w14:paraId="3F15B42B"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BFCDF77" w14:textId="77777777" w:rsidR="00C8257E" w:rsidRPr="00502A64" w:rsidRDefault="00C8257E"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C8257E" w:rsidRPr="00502A64" w14:paraId="10877BBA"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EADAA97" w14:textId="77777777" w:rsidR="00C8257E" w:rsidRPr="00502A64" w:rsidRDefault="00C8257E"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27763BF2" w14:textId="77777777" w:rsidR="00C8257E" w:rsidRPr="00502A64" w:rsidRDefault="00C8257E"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DE68BA0" w14:textId="77777777" w:rsidR="00C8257E" w:rsidRPr="00502A64" w:rsidRDefault="00C8257E"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510998" w:rsidRPr="00BC5760" w14:paraId="2B6C115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E520AF5" w14:textId="6F5E0244" w:rsidR="00510998" w:rsidRPr="00BC5760" w:rsidRDefault="009459EA" w:rsidP="00555D83">
            <w:pPr>
              <w:rPr>
                <w:rFonts w:cs="Poppins"/>
                <w:color w:val="000000"/>
                <w:sz w:val="20"/>
                <w:szCs w:val="20"/>
              </w:rPr>
            </w:pPr>
            <w:bookmarkStart w:id="1" w:name="_GoBack"/>
            <w:bookmarkEnd w:id="1"/>
            <w:r>
              <w:rPr>
                <w:rFonts w:cs="Poppins"/>
                <w:b w:val="0"/>
                <w:bCs w:val="0"/>
                <w:color w:val="000000"/>
                <w:sz w:val="20"/>
                <w:szCs w:val="20"/>
              </w:rPr>
              <w:t>Mental Health</w:t>
            </w:r>
          </w:p>
        </w:tc>
        <w:sdt>
          <w:sdtPr>
            <w:rPr>
              <w:rFonts w:ascii="Calibri" w:hAnsi="Calibri" w:cs="Poppins"/>
              <w:color w:val="000000"/>
              <w:sz w:val="20"/>
              <w:szCs w:val="20"/>
            </w:rPr>
            <w:alias w:val="Party"/>
            <w:tag w:val="Party"/>
            <w:id w:val="-1800147615"/>
            <w:placeholder>
              <w:docPart w:val="C472E51012B44D2BB7AB8252D13DDD3A"/>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C7B067B" w14:textId="36EC3BB9" w:rsidR="00510998" w:rsidRDefault="009459EA"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16B4A6B4" w14:textId="639D82FA" w:rsidR="00510998" w:rsidRPr="00BC5760" w:rsidRDefault="009459EA"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Funding for Mental Health Services of $360M is welcome but inadequate. There is no recognition of dual disability with mental health condition in addition to a primary disability</w:t>
            </w:r>
          </w:p>
        </w:tc>
      </w:tr>
      <w:tr w:rsidR="009459EA" w:rsidRPr="00BC5760" w14:paraId="5865E06A"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710684C" w14:textId="335AE861" w:rsidR="009459EA" w:rsidRPr="00BC5760" w:rsidRDefault="009459EA" w:rsidP="009459EA">
            <w:pPr>
              <w:rPr>
                <w:rFonts w:cs="Poppins"/>
                <w:color w:val="000000"/>
                <w:sz w:val="20"/>
                <w:szCs w:val="20"/>
              </w:rPr>
            </w:pPr>
            <w:r>
              <w:rPr>
                <w:rFonts w:cs="Poppins"/>
                <w:b w:val="0"/>
                <w:bCs w:val="0"/>
                <w:color w:val="000000"/>
                <w:sz w:val="20"/>
                <w:szCs w:val="20"/>
              </w:rPr>
              <w:t>National Centre for the Prevention of Child Sexual Abuse: $22.5M to 2024-25 (DSS PP p.25)</w:t>
            </w:r>
          </w:p>
        </w:tc>
        <w:sdt>
          <w:sdtPr>
            <w:rPr>
              <w:rFonts w:ascii="Calibri" w:hAnsi="Calibri" w:cs="Poppins"/>
              <w:color w:val="000000"/>
              <w:sz w:val="20"/>
              <w:szCs w:val="20"/>
            </w:rPr>
            <w:alias w:val="Party"/>
            <w:tag w:val="Party"/>
            <w:id w:val="1145859179"/>
            <w:placeholder>
              <w:docPart w:val="DFA69FFC8C8C4C61839526C24A683EE8"/>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B7E01DA" w14:textId="0951F2FD" w:rsidR="009459EA" w:rsidRDefault="009459EA" w:rsidP="009459EA">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0C19E4A9" w14:textId="5540DD49" w:rsidR="009459EA" w:rsidRPr="00BC5760" w:rsidRDefault="009459EA" w:rsidP="009459EA">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r>
              <w:rPr>
                <w:rFonts w:cs="Poppins"/>
                <w:color w:val="000000"/>
                <w:sz w:val="20"/>
                <w:szCs w:val="20"/>
              </w:rPr>
              <w:t>The initiative is good but the amount probably inadequate.</w:t>
            </w:r>
          </w:p>
        </w:tc>
      </w:tr>
      <w:tr w:rsidR="009459EA" w:rsidRPr="00BC5760" w14:paraId="6A122E3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AB4FEA7" w14:textId="739F26CC" w:rsidR="009459EA" w:rsidRPr="00BC5760" w:rsidRDefault="009459EA" w:rsidP="009459EA">
            <w:pPr>
              <w:rPr>
                <w:rFonts w:cs="Poppins"/>
                <w:color w:val="000000"/>
                <w:sz w:val="20"/>
                <w:szCs w:val="20"/>
              </w:rPr>
            </w:pPr>
            <w:r>
              <w:rPr>
                <w:rFonts w:cs="Poppins"/>
                <w:b w:val="0"/>
                <w:bCs w:val="0"/>
                <w:color w:val="000000"/>
                <w:sz w:val="20"/>
                <w:szCs w:val="20"/>
              </w:rPr>
              <w:t>Money for Carers: $84.3M for planned and emergency respite services, including young carers</w:t>
            </w:r>
          </w:p>
        </w:tc>
        <w:sdt>
          <w:sdtPr>
            <w:rPr>
              <w:rFonts w:ascii="Calibri" w:hAnsi="Calibri" w:cs="Poppins"/>
              <w:color w:val="000000"/>
              <w:sz w:val="20"/>
              <w:szCs w:val="20"/>
            </w:rPr>
            <w:alias w:val="Party"/>
            <w:tag w:val="Party"/>
            <w:id w:val="-737628807"/>
            <w:placeholder>
              <w:docPart w:val="320DAB13D719412583FABF328FBD8650"/>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C9A13EC" w14:textId="0F6873BF" w:rsidR="009459EA" w:rsidRDefault="009459EA" w:rsidP="009459EA">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3DFB3AF9" w14:textId="791403D7" w:rsidR="009459EA" w:rsidRPr="00BC5760" w:rsidRDefault="009459EA" w:rsidP="009459EA">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Unclear what is meant by respite services, since carer respite has been not been recognised under the NDIS. To be rolled out through an enhanced Carer Gateway, commencing July 2019.</w:t>
            </w:r>
          </w:p>
        </w:tc>
      </w:tr>
      <w:tr w:rsidR="009459EA" w:rsidRPr="00BC5760" w14:paraId="431FC216"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19B9A9E" w14:textId="77777777" w:rsidR="009459EA" w:rsidRPr="00BC5760" w:rsidRDefault="009459EA" w:rsidP="009459EA">
            <w:pPr>
              <w:rPr>
                <w:rFonts w:cs="Poppins"/>
                <w:color w:val="000000"/>
                <w:sz w:val="20"/>
                <w:szCs w:val="20"/>
              </w:rPr>
            </w:pPr>
          </w:p>
        </w:tc>
        <w:sdt>
          <w:sdtPr>
            <w:rPr>
              <w:rFonts w:ascii="Calibri" w:hAnsi="Calibri" w:cs="Poppins"/>
              <w:color w:val="000000"/>
              <w:sz w:val="20"/>
              <w:szCs w:val="20"/>
            </w:rPr>
            <w:alias w:val="Party"/>
            <w:tag w:val="Party"/>
            <w:id w:val="-1313563237"/>
            <w:placeholder>
              <w:docPart w:val="BB41BA3F72484813AC1C2FD5891C8E7D"/>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98781EE" w14:textId="77777777" w:rsidR="009459EA" w:rsidRDefault="009459EA" w:rsidP="009459EA">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E905BD5" w14:textId="77777777" w:rsidR="009459EA" w:rsidRPr="00BC5760" w:rsidRDefault="009459EA" w:rsidP="009459EA">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9459EA" w:rsidRPr="00BC5760" w14:paraId="232288D2"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B1190C6" w14:textId="77777777" w:rsidR="009459EA" w:rsidRPr="00BC5760" w:rsidRDefault="009459EA" w:rsidP="009459EA">
            <w:pPr>
              <w:rPr>
                <w:rFonts w:cs="Poppins"/>
                <w:color w:val="000000"/>
                <w:sz w:val="20"/>
                <w:szCs w:val="20"/>
              </w:rPr>
            </w:pPr>
          </w:p>
        </w:tc>
        <w:sdt>
          <w:sdtPr>
            <w:rPr>
              <w:rFonts w:ascii="Calibri" w:hAnsi="Calibri" w:cs="Poppins"/>
              <w:color w:val="000000"/>
              <w:sz w:val="20"/>
              <w:szCs w:val="20"/>
            </w:rPr>
            <w:alias w:val="Party"/>
            <w:tag w:val="Party"/>
            <w:id w:val="1001551613"/>
            <w:placeholder>
              <w:docPart w:val="9683E92EC100468696FC5E0B3A53CC9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BEBC057" w14:textId="77777777" w:rsidR="009459EA" w:rsidRDefault="009459EA" w:rsidP="009459EA">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E3E9D39" w14:textId="77777777" w:rsidR="009459EA" w:rsidRPr="00BC5760" w:rsidRDefault="009459EA" w:rsidP="009459EA">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9459EA" w:rsidRPr="00BC5760" w14:paraId="117CD1DF"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948CACA" w14:textId="77777777" w:rsidR="009459EA" w:rsidRPr="00BC5760" w:rsidRDefault="009459EA" w:rsidP="009459EA">
            <w:pPr>
              <w:rPr>
                <w:rFonts w:cs="Poppins"/>
                <w:color w:val="000000"/>
                <w:sz w:val="20"/>
                <w:szCs w:val="20"/>
              </w:rPr>
            </w:pPr>
          </w:p>
        </w:tc>
        <w:sdt>
          <w:sdtPr>
            <w:rPr>
              <w:rFonts w:ascii="Calibri" w:hAnsi="Calibri" w:cs="Poppins"/>
              <w:color w:val="000000"/>
              <w:sz w:val="20"/>
              <w:szCs w:val="20"/>
            </w:rPr>
            <w:alias w:val="Party"/>
            <w:tag w:val="Party"/>
            <w:id w:val="594910455"/>
            <w:placeholder>
              <w:docPart w:val="25F778339AF64354AD1DAFE93635F25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8986F3D" w14:textId="77777777" w:rsidR="009459EA" w:rsidRDefault="009459EA" w:rsidP="009459EA">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AF0586B" w14:textId="77777777" w:rsidR="009459EA" w:rsidRPr="00BC5760" w:rsidRDefault="009459EA" w:rsidP="009459EA">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bl>
    <w:p w14:paraId="3F25C15D" w14:textId="77777777" w:rsidR="00C8257E" w:rsidRPr="00502A64" w:rsidRDefault="00C8257E" w:rsidP="00C8257E">
      <w:pPr>
        <w:rPr>
          <w:rFonts w:ascii="Calibri" w:eastAsia="Times New Roman" w:hAnsi="Calibri" w:cs="Times New Roman"/>
        </w:rPr>
      </w:pPr>
    </w:p>
    <w:p w14:paraId="2677D924" w14:textId="77777777" w:rsidR="00C8257E" w:rsidRPr="00502A64" w:rsidRDefault="00C8257E" w:rsidP="00C8257E">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5ED1F113" w14:textId="77777777" w:rsidR="00C8257E" w:rsidRDefault="00C8257E" w:rsidP="00C8257E">
      <w:pPr>
        <w:rPr>
          <w:rFonts w:eastAsiaTheme="minorHAnsi" w:cs="Poppins"/>
          <w:color w:val="000000"/>
          <w:sz w:val="28"/>
          <w:szCs w:val="28"/>
          <w:lang w:val="en-AU" w:eastAsia="en-US"/>
        </w:rPr>
      </w:pPr>
    </w:p>
    <w:p w14:paraId="371A4C2E" w14:textId="77777777" w:rsidR="00C8257E" w:rsidRDefault="00C8257E" w:rsidP="00C8257E">
      <w:pPr>
        <w:rPr>
          <w:rFonts w:eastAsiaTheme="minorHAnsi" w:cs="Poppins"/>
          <w:color w:val="000000"/>
          <w:sz w:val="28"/>
          <w:szCs w:val="28"/>
          <w:lang w:val="en-AU" w:eastAsia="en-US"/>
        </w:rPr>
      </w:pPr>
    </w:p>
    <w:p w14:paraId="751A0BEB" w14:textId="77777777" w:rsidR="00C8257E" w:rsidRDefault="00C8257E" w:rsidP="007957F1">
      <w:pPr>
        <w:rPr>
          <w:rFonts w:eastAsiaTheme="minorHAnsi" w:cs="Poppins"/>
          <w:color w:val="000000"/>
          <w:sz w:val="28"/>
          <w:szCs w:val="28"/>
          <w:lang w:val="en-AU" w:eastAsia="en-US"/>
        </w:rPr>
      </w:pPr>
    </w:p>
    <w:sectPr w:rsidR="00C8257E"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6835" w14:textId="77777777" w:rsidR="00D91B6E" w:rsidRDefault="00D91B6E" w:rsidP="00855982">
      <w:pPr>
        <w:spacing w:after="0" w:line="240" w:lineRule="auto"/>
      </w:pPr>
      <w:r>
        <w:separator/>
      </w:r>
    </w:p>
  </w:endnote>
  <w:endnote w:type="continuationSeparator" w:id="0">
    <w:p w14:paraId="130B944C" w14:textId="77777777" w:rsidR="00D91B6E" w:rsidRDefault="00D91B6E" w:rsidP="00855982">
      <w:pPr>
        <w:spacing w:after="0" w:line="240" w:lineRule="auto"/>
      </w:pPr>
      <w:r>
        <w:continuationSeparator/>
      </w:r>
    </w:p>
  </w:endnote>
  <w:endnote w:id="1">
    <w:p w14:paraId="7DDBBFF6" w14:textId="77777777" w:rsidR="00A00E16" w:rsidRPr="00F0090C" w:rsidRDefault="00A00E16" w:rsidP="00A00E16">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Price Waterhouse Coopers, </w:t>
      </w:r>
      <w:r w:rsidRPr="00F0090C">
        <w:rPr>
          <w:rFonts w:cstheme="minorHAnsi"/>
          <w:color w:val="000000" w:themeColor="text1"/>
          <w:sz w:val="20"/>
        </w:rPr>
        <w:t xml:space="preserve">Price Waterhouse Coopers (PWC) (2011) </w:t>
      </w:r>
      <w:r w:rsidRPr="00F0090C">
        <w:rPr>
          <w:rFonts w:cstheme="minorHAnsi"/>
          <w:i/>
          <w:color w:val="000000" w:themeColor="text1"/>
          <w:sz w:val="20"/>
        </w:rPr>
        <w:t>Disability expectations: Investing in a better life, a stronger Australia</w:t>
      </w:r>
      <w:r w:rsidRPr="00F0090C">
        <w:rPr>
          <w:rFonts w:cstheme="minorHAnsi"/>
          <w:color w:val="000000" w:themeColor="text1"/>
          <w:sz w:val="20"/>
        </w:rPr>
        <w:t xml:space="preserve">; accessed online at: </w:t>
      </w:r>
      <w:hyperlink r:id="rId1" w:history="1">
        <w:r w:rsidRPr="00F0090C">
          <w:rPr>
            <w:rStyle w:val="Hyperlink"/>
            <w:rFonts w:cstheme="minorHAnsi"/>
            <w:color w:val="000000"/>
            <w:sz w:val="20"/>
          </w:rPr>
          <w:t>https://www.pwc.com.au/industry/government/assets/disability-in-australia.pdf</w:t>
        </w:r>
      </w:hyperlink>
      <w:r w:rsidRPr="00F0090C">
        <w:rPr>
          <w:rFonts w:cstheme="minorHAnsi"/>
          <w:color w:val="000000" w:themeColor="text1"/>
          <w:sz w:val="20"/>
        </w:rPr>
        <w:t>.</w:t>
      </w:r>
    </w:p>
  </w:endnote>
  <w:endnote w:id="2">
    <w:p w14:paraId="02283EBE" w14:textId="77777777" w:rsidR="00557882" w:rsidRPr="00F0090C" w:rsidRDefault="00557882" w:rsidP="00557882">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People </w:t>
      </w:r>
      <w:proofErr w:type="gramStart"/>
      <w:r w:rsidRPr="00F0090C">
        <w:rPr>
          <w:rFonts w:cstheme="minorHAnsi"/>
          <w:sz w:val="20"/>
        </w:rPr>
        <w:t>With</w:t>
      </w:r>
      <w:proofErr w:type="gramEnd"/>
      <w:r w:rsidRPr="00F0090C">
        <w:rPr>
          <w:rFonts w:cstheme="minorHAnsi"/>
          <w:sz w:val="20"/>
        </w:rPr>
        <w:t xml:space="preserve"> Disabilities Australia, Federal Election 2019, </w:t>
      </w:r>
      <w:hyperlink r:id="rId2" w:history="1">
        <w:r w:rsidRPr="00F0090C">
          <w:rPr>
            <w:rStyle w:val="Hyperlink"/>
            <w:rFonts w:cstheme="minorHAnsi"/>
            <w:sz w:val="20"/>
          </w:rPr>
          <w:t>https://pwd.org.au/federal-election-2019/</w:t>
        </w:r>
      </w:hyperlink>
      <w:r w:rsidRPr="00F0090C">
        <w:rPr>
          <w:rFonts w:cstheme="minorHAnsi"/>
          <w:sz w:val="20"/>
        </w:rPr>
        <w:t xml:space="preserve"> </w:t>
      </w:r>
    </w:p>
  </w:endnote>
  <w:endnote w:id="3">
    <w:p w14:paraId="5CFBB771" w14:textId="2A3F410F" w:rsidR="00557882" w:rsidRPr="00F0090C" w:rsidRDefault="00557882" w:rsidP="00557882">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State Government of Victoria, Department of Human Services, </w:t>
      </w:r>
      <w:r w:rsidR="00C942AF" w:rsidRPr="00C942AF">
        <w:rPr>
          <w:rFonts w:cstheme="minorHAnsi"/>
          <w:i/>
          <w:sz w:val="20"/>
        </w:rPr>
        <w:t>I</w:t>
      </w:r>
      <w:r w:rsidRPr="00C942AF">
        <w:rPr>
          <w:rFonts w:cstheme="minorHAnsi"/>
          <w:i/>
          <w:sz w:val="20"/>
        </w:rPr>
        <w:t>n</w:t>
      </w:r>
      <w:r w:rsidRPr="00F0090C">
        <w:rPr>
          <w:rFonts w:cstheme="minorHAnsi"/>
          <w:i/>
          <w:sz w:val="20"/>
        </w:rPr>
        <w:t xml:space="preserve">tellectual Disability, </w:t>
      </w:r>
      <w:r w:rsidRPr="00F0090C">
        <w:rPr>
          <w:rFonts w:cstheme="minorHAnsi"/>
          <w:sz w:val="20"/>
        </w:rPr>
        <w:t>2015</w:t>
      </w:r>
    </w:p>
  </w:endnote>
  <w:endnote w:id="4">
    <w:p w14:paraId="3FB961A4" w14:textId="77777777" w:rsidR="00557882" w:rsidRPr="00F0090C" w:rsidRDefault="00557882" w:rsidP="00557882">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National Association for persons with Developmental disabilities and mental health needs, </w:t>
      </w:r>
      <w:r w:rsidRPr="00F0090C">
        <w:rPr>
          <w:rFonts w:cstheme="minorHAnsi"/>
          <w:i/>
          <w:sz w:val="20"/>
        </w:rPr>
        <w:t xml:space="preserve">information on dual diagnosis, </w:t>
      </w:r>
      <w:hyperlink r:id="rId3" w:history="1">
        <w:r w:rsidRPr="00F0090C">
          <w:rPr>
            <w:rStyle w:val="Hyperlink"/>
            <w:rFonts w:cstheme="minorHAnsi"/>
            <w:sz w:val="20"/>
          </w:rPr>
          <w:t>http://thenadd.org/resources/information-on-dual-diagnosis-2/</w:t>
        </w:r>
      </w:hyperlink>
      <w:r w:rsidRPr="00F0090C">
        <w:rPr>
          <w:rFonts w:cstheme="minorHAnsi"/>
          <w:sz w:val="20"/>
        </w:rPr>
        <w:t xml:space="preserve"> </w:t>
      </w:r>
    </w:p>
  </w:endnote>
  <w:endnote w:id="5">
    <w:p w14:paraId="45E39729" w14:textId="77777777" w:rsidR="00557882" w:rsidRPr="00F0090C" w:rsidRDefault="00557882" w:rsidP="00557882">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Mind Australia, </w:t>
      </w:r>
      <w:r w:rsidRPr="00F0090C">
        <w:rPr>
          <w:rFonts w:cstheme="minorHAnsi"/>
          <w:i/>
          <w:sz w:val="20"/>
        </w:rPr>
        <w:t xml:space="preserve">Mind Australia’s approach to working with people who have a dual disability, </w:t>
      </w:r>
    </w:p>
  </w:endnote>
  <w:endnote w:id="6">
    <w:p w14:paraId="732980E2" w14:textId="77777777" w:rsidR="00A00E16" w:rsidRPr="00F0090C" w:rsidRDefault="00A00E16" w:rsidP="00A00E16">
      <w:pPr>
        <w:pStyle w:val="EndnoteText"/>
        <w:spacing w:after="80"/>
        <w:rPr>
          <w:rFonts w:cstheme="minorHAnsi"/>
          <w:i/>
          <w:sz w:val="20"/>
        </w:rPr>
      </w:pPr>
      <w:r w:rsidRPr="00F0090C">
        <w:rPr>
          <w:rStyle w:val="EndnoteReference"/>
          <w:rFonts w:cstheme="minorHAnsi"/>
          <w:sz w:val="20"/>
        </w:rPr>
        <w:endnoteRef/>
      </w:r>
      <w:r w:rsidRPr="00F0090C">
        <w:rPr>
          <w:rFonts w:cstheme="minorHAnsi"/>
          <w:sz w:val="20"/>
        </w:rPr>
        <w:t xml:space="preserve"> Department of Social Services, </w:t>
      </w:r>
      <w:r w:rsidRPr="00F0090C">
        <w:rPr>
          <w:rFonts w:cstheme="minorHAnsi"/>
          <w:i/>
          <w:sz w:val="20"/>
        </w:rPr>
        <w:t xml:space="preserve">National Dialogue on Universal Housing Design – Strategic Plan, 2010, </w:t>
      </w:r>
      <w:hyperlink r:id="rId4" w:history="1">
        <w:r w:rsidRPr="00F0090C">
          <w:rPr>
            <w:rStyle w:val="Hyperlink"/>
            <w:rFonts w:cstheme="minorHAnsi"/>
            <w:sz w:val="20"/>
          </w:rPr>
          <w:t>https://www.dss.gov.au/sites/default/files/documents/05_2012/national_dialogue_strategic_plan.pdf</w:t>
        </w:r>
      </w:hyperlink>
      <w:r w:rsidRPr="00F0090C">
        <w:rPr>
          <w:rFonts w:cstheme="minorHAnsi"/>
          <w:i/>
          <w:sz w:val="20"/>
        </w:rPr>
        <w:t xml:space="preserve"> </w:t>
      </w:r>
      <w:r w:rsidRPr="00F0090C">
        <w:rPr>
          <w:rFonts w:cstheme="minorHAnsi"/>
          <w:sz w:val="20"/>
        </w:rPr>
        <w:t xml:space="preserve">, </w:t>
      </w:r>
    </w:p>
  </w:endnote>
  <w:endnote w:id="7">
    <w:p w14:paraId="1A424821" w14:textId="77777777" w:rsidR="00A00E16" w:rsidRPr="00F0090C" w:rsidRDefault="00A00E16" w:rsidP="00A00E16">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Australian Bureau of Statistics, </w:t>
      </w:r>
      <w:r w:rsidRPr="00F0090C">
        <w:rPr>
          <w:rFonts w:cstheme="minorHAnsi"/>
          <w:i/>
          <w:sz w:val="20"/>
        </w:rPr>
        <w:t>Survey of Disability Ageing and Carers 2015</w:t>
      </w:r>
      <w:r w:rsidRPr="00F0090C">
        <w:rPr>
          <w:rFonts w:cstheme="minorHAnsi"/>
          <w:sz w:val="20"/>
        </w:rPr>
        <w:t>, Cat. No. 4430.0, Summary of Findings, 2015</w:t>
      </w:r>
    </w:p>
  </w:endnote>
  <w:endnote w:id="8">
    <w:p w14:paraId="7BD5CE5C" w14:textId="77777777" w:rsidR="00A00E16" w:rsidRPr="00F0090C" w:rsidRDefault="00A00E16" w:rsidP="00A00E16">
      <w:pPr>
        <w:pStyle w:val="EndnoteText"/>
        <w:spacing w:after="80"/>
        <w:rPr>
          <w:rFonts w:cstheme="minorHAnsi"/>
          <w:sz w:val="20"/>
        </w:rPr>
      </w:pPr>
      <w:r w:rsidRPr="00F0090C">
        <w:rPr>
          <w:rStyle w:val="EndnoteReference"/>
          <w:rFonts w:cstheme="minorHAnsi"/>
          <w:sz w:val="20"/>
        </w:rPr>
        <w:endnoteRef/>
      </w:r>
      <w:r w:rsidRPr="00F0090C">
        <w:rPr>
          <w:rFonts w:cstheme="minorHAnsi"/>
          <w:sz w:val="20"/>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7E111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BAF6" w14:textId="77777777" w:rsidR="00D91B6E" w:rsidRDefault="00D91B6E" w:rsidP="00855982">
      <w:pPr>
        <w:spacing w:after="0" w:line="240" w:lineRule="auto"/>
      </w:pPr>
      <w:r>
        <w:separator/>
      </w:r>
    </w:p>
  </w:footnote>
  <w:footnote w:type="continuationSeparator" w:id="0">
    <w:p w14:paraId="591002AE" w14:textId="77777777" w:rsidR="00D91B6E" w:rsidRDefault="00D91B6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eastAsia="en-US"/>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9825BD"/>
    <w:multiLevelType w:val="hybridMultilevel"/>
    <w:tmpl w:val="58AE9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BB2E51"/>
    <w:multiLevelType w:val="hybridMultilevel"/>
    <w:tmpl w:val="689EE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2F7C5EEA"/>
    <w:multiLevelType w:val="hybridMultilevel"/>
    <w:tmpl w:val="B56C7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F839ED"/>
    <w:multiLevelType w:val="hybridMultilevel"/>
    <w:tmpl w:val="108C3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AF47464"/>
    <w:multiLevelType w:val="hybridMultilevel"/>
    <w:tmpl w:val="1E0651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1E59A5"/>
    <w:multiLevelType w:val="hybridMultilevel"/>
    <w:tmpl w:val="6516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2721"/>
    <w:multiLevelType w:val="hybridMultilevel"/>
    <w:tmpl w:val="145A0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C7A33"/>
    <w:multiLevelType w:val="hybridMultilevel"/>
    <w:tmpl w:val="A0F8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DE594A"/>
    <w:multiLevelType w:val="hybridMultilevel"/>
    <w:tmpl w:val="4A2A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55251E"/>
    <w:multiLevelType w:val="hybridMultilevel"/>
    <w:tmpl w:val="B9D0D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6"/>
  </w:num>
  <w:num w:numId="4">
    <w:abstractNumId w:val="4"/>
  </w:num>
  <w:num w:numId="5">
    <w:abstractNumId w:val="25"/>
  </w:num>
  <w:num w:numId="6">
    <w:abstractNumId w:val="18"/>
  </w:num>
  <w:num w:numId="7">
    <w:abstractNumId w:val="13"/>
  </w:num>
  <w:num w:numId="8">
    <w:abstractNumId w:val="27"/>
  </w:num>
  <w:num w:numId="9">
    <w:abstractNumId w:val="21"/>
  </w:num>
  <w:num w:numId="10">
    <w:abstractNumId w:val="22"/>
  </w:num>
  <w:num w:numId="11">
    <w:abstractNumId w:val="9"/>
  </w:num>
  <w:num w:numId="12">
    <w:abstractNumId w:val="24"/>
  </w:num>
  <w:num w:numId="13">
    <w:abstractNumId w:val="5"/>
  </w:num>
  <w:num w:numId="14">
    <w:abstractNumId w:val="6"/>
  </w:num>
  <w:num w:numId="15">
    <w:abstractNumId w:val="16"/>
  </w:num>
  <w:num w:numId="16">
    <w:abstractNumId w:val="11"/>
  </w:num>
  <w:num w:numId="17">
    <w:abstractNumId w:val="7"/>
  </w:num>
  <w:num w:numId="18">
    <w:abstractNumId w:val="1"/>
  </w:num>
  <w:num w:numId="19">
    <w:abstractNumId w:val="0"/>
  </w:num>
  <w:num w:numId="20">
    <w:abstractNumId w:val="15"/>
  </w:num>
  <w:num w:numId="21">
    <w:abstractNumId w:val="10"/>
  </w:num>
  <w:num w:numId="22">
    <w:abstractNumId w:val="12"/>
  </w:num>
  <w:num w:numId="23">
    <w:abstractNumId w:val="19"/>
  </w:num>
  <w:num w:numId="24">
    <w:abstractNumId w:val="8"/>
  </w:num>
  <w:num w:numId="25">
    <w:abstractNumId w:val="2"/>
  </w:num>
  <w:num w:numId="26">
    <w:abstractNumId w:val="23"/>
  </w:num>
  <w:num w:numId="27">
    <w:abstractNumId w:val="3"/>
  </w:num>
  <w:num w:numId="28">
    <w:abstractNumId w:val="17"/>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159C0"/>
    <w:rsid w:val="00031306"/>
    <w:rsid w:val="00033A96"/>
    <w:rsid w:val="00034992"/>
    <w:rsid w:val="0004404A"/>
    <w:rsid w:val="0004697A"/>
    <w:rsid w:val="000546D0"/>
    <w:rsid w:val="00056318"/>
    <w:rsid w:val="00080FB5"/>
    <w:rsid w:val="00084B29"/>
    <w:rsid w:val="00085E94"/>
    <w:rsid w:val="00093D1C"/>
    <w:rsid w:val="000949CE"/>
    <w:rsid w:val="000B1A5B"/>
    <w:rsid w:val="000C01B6"/>
    <w:rsid w:val="000C302D"/>
    <w:rsid w:val="000C4760"/>
    <w:rsid w:val="000D671D"/>
    <w:rsid w:val="000E7DCC"/>
    <w:rsid w:val="00103472"/>
    <w:rsid w:val="00111948"/>
    <w:rsid w:val="001242DB"/>
    <w:rsid w:val="0013134D"/>
    <w:rsid w:val="00136446"/>
    <w:rsid w:val="0014457A"/>
    <w:rsid w:val="00146D67"/>
    <w:rsid w:val="001510DE"/>
    <w:rsid w:val="001614E3"/>
    <w:rsid w:val="001622DE"/>
    <w:rsid w:val="0016388B"/>
    <w:rsid w:val="0016484A"/>
    <w:rsid w:val="00170232"/>
    <w:rsid w:val="001741E5"/>
    <w:rsid w:val="00181161"/>
    <w:rsid w:val="00190052"/>
    <w:rsid w:val="001A63AB"/>
    <w:rsid w:val="001B055F"/>
    <w:rsid w:val="001B6AD4"/>
    <w:rsid w:val="001D3F0F"/>
    <w:rsid w:val="001D4362"/>
    <w:rsid w:val="001D5618"/>
    <w:rsid w:val="001E6C0E"/>
    <w:rsid w:val="00226686"/>
    <w:rsid w:val="002351F3"/>
    <w:rsid w:val="00236573"/>
    <w:rsid w:val="00241319"/>
    <w:rsid w:val="00242B69"/>
    <w:rsid w:val="002500F8"/>
    <w:rsid w:val="00252B26"/>
    <w:rsid w:val="00266696"/>
    <w:rsid w:val="00280EF7"/>
    <w:rsid w:val="00282B0D"/>
    <w:rsid w:val="002939B6"/>
    <w:rsid w:val="00297C09"/>
    <w:rsid w:val="002A4455"/>
    <w:rsid w:val="002B4C70"/>
    <w:rsid w:val="002B4FBD"/>
    <w:rsid w:val="002B79E9"/>
    <w:rsid w:val="002C6970"/>
    <w:rsid w:val="002D1DFD"/>
    <w:rsid w:val="00303BB1"/>
    <w:rsid w:val="003254DD"/>
    <w:rsid w:val="00336CD9"/>
    <w:rsid w:val="0033716C"/>
    <w:rsid w:val="003457B8"/>
    <w:rsid w:val="0034769C"/>
    <w:rsid w:val="003519F6"/>
    <w:rsid w:val="00354FB2"/>
    <w:rsid w:val="0036219E"/>
    <w:rsid w:val="00363CB3"/>
    <w:rsid w:val="0036473E"/>
    <w:rsid w:val="003661F5"/>
    <w:rsid w:val="00370F9B"/>
    <w:rsid w:val="003723E8"/>
    <w:rsid w:val="003844CF"/>
    <w:rsid w:val="00392CED"/>
    <w:rsid w:val="00395B49"/>
    <w:rsid w:val="003B02EC"/>
    <w:rsid w:val="003B47AE"/>
    <w:rsid w:val="003B5256"/>
    <w:rsid w:val="003B5C46"/>
    <w:rsid w:val="003C635B"/>
    <w:rsid w:val="003D59C7"/>
    <w:rsid w:val="003E4DD9"/>
    <w:rsid w:val="003F14CF"/>
    <w:rsid w:val="00416E27"/>
    <w:rsid w:val="00421A66"/>
    <w:rsid w:val="00423F66"/>
    <w:rsid w:val="00426168"/>
    <w:rsid w:val="004312B3"/>
    <w:rsid w:val="00444743"/>
    <w:rsid w:val="0045338D"/>
    <w:rsid w:val="0046074A"/>
    <w:rsid w:val="0046745E"/>
    <w:rsid w:val="004728E3"/>
    <w:rsid w:val="0048145A"/>
    <w:rsid w:val="00490AD9"/>
    <w:rsid w:val="00492049"/>
    <w:rsid w:val="00493B45"/>
    <w:rsid w:val="00495C0A"/>
    <w:rsid w:val="004B25FC"/>
    <w:rsid w:val="004B34EB"/>
    <w:rsid w:val="004D1DE6"/>
    <w:rsid w:val="004E67B6"/>
    <w:rsid w:val="004F2596"/>
    <w:rsid w:val="00501BD6"/>
    <w:rsid w:val="00504D76"/>
    <w:rsid w:val="00506E6E"/>
    <w:rsid w:val="00510998"/>
    <w:rsid w:val="005156F4"/>
    <w:rsid w:val="005303E8"/>
    <w:rsid w:val="0053622A"/>
    <w:rsid w:val="00537A06"/>
    <w:rsid w:val="0054474E"/>
    <w:rsid w:val="00557882"/>
    <w:rsid w:val="00574165"/>
    <w:rsid w:val="00575029"/>
    <w:rsid w:val="00593089"/>
    <w:rsid w:val="005A4C02"/>
    <w:rsid w:val="005B4639"/>
    <w:rsid w:val="005B6E1D"/>
    <w:rsid w:val="005C3032"/>
    <w:rsid w:val="005C594B"/>
    <w:rsid w:val="005D23CF"/>
    <w:rsid w:val="005D47E8"/>
    <w:rsid w:val="005E09B8"/>
    <w:rsid w:val="005E39E0"/>
    <w:rsid w:val="005E3B16"/>
    <w:rsid w:val="005F1F1A"/>
    <w:rsid w:val="00616631"/>
    <w:rsid w:val="00617028"/>
    <w:rsid w:val="0062240D"/>
    <w:rsid w:val="006275BA"/>
    <w:rsid w:val="00635245"/>
    <w:rsid w:val="00654632"/>
    <w:rsid w:val="00655072"/>
    <w:rsid w:val="006554A3"/>
    <w:rsid w:val="0066640E"/>
    <w:rsid w:val="00677B5D"/>
    <w:rsid w:val="00682A71"/>
    <w:rsid w:val="00682E29"/>
    <w:rsid w:val="00693937"/>
    <w:rsid w:val="006A382D"/>
    <w:rsid w:val="006B1980"/>
    <w:rsid w:val="006C122F"/>
    <w:rsid w:val="006D3387"/>
    <w:rsid w:val="006D50C3"/>
    <w:rsid w:val="006E1623"/>
    <w:rsid w:val="006E4190"/>
    <w:rsid w:val="006E7F3A"/>
    <w:rsid w:val="006F0623"/>
    <w:rsid w:val="006F6450"/>
    <w:rsid w:val="00700E4D"/>
    <w:rsid w:val="0070134D"/>
    <w:rsid w:val="007047A5"/>
    <w:rsid w:val="00706D7D"/>
    <w:rsid w:val="0073677C"/>
    <w:rsid w:val="00742C60"/>
    <w:rsid w:val="0075055B"/>
    <w:rsid w:val="00751853"/>
    <w:rsid w:val="007766C0"/>
    <w:rsid w:val="00777692"/>
    <w:rsid w:val="00777F95"/>
    <w:rsid w:val="007811F2"/>
    <w:rsid w:val="007833A7"/>
    <w:rsid w:val="00783B61"/>
    <w:rsid w:val="00784AA0"/>
    <w:rsid w:val="0079061F"/>
    <w:rsid w:val="007957F1"/>
    <w:rsid w:val="007B7B87"/>
    <w:rsid w:val="007C2DC4"/>
    <w:rsid w:val="007C3159"/>
    <w:rsid w:val="007C7A88"/>
    <w:rsid w:val="007D0951"/>
    <w:rsid w:val="007D1493"/>
    <w:rsid w:val="007D4F4B"/>
    <w:rsid w:val="007E1111"/>
    <w:rsid w:val="007E24D4"/>
    <w:rsid w:val="007F4587"/>
    <w:rsid w:val="007F61E8"/>
    <w:rsid w:val="007F7DFA"/>
    <w:rsid w:val="007F7E17"/>
    <w:rsid w:val="00804321"/>
    <w:rsid w:val="00805265"/>
    <w:rsid w:val="00807346"/>
    <w:rsid w:val="00810200"/>
    <w:rsid w:val="00817634"/>
    <w:rsid w:val="00820223"/>
    <w:rsid w:val="008401C2"/>
    <w:rsid w:val="00846C0D"/>
    <w:rsid w:val="0085031F"/>
    <w:rsid w:val="00855982"/>
    <w:rsid w:val="00856D5B"/>
    <w:rsid w:val="008625DF"/>
    <w:rsid w:val="00862D88"/>
    <w:rsid w:val="008714DD"/>
    <w:rsid w:val="008A2277"/>
    <w:rsid w:val="008A548C"/>
    <w:rsid w:val="008D032C"/>
    <w:rsid w:val="008E06A4"/>
    <w:rsid w:val="008E29B6"/>
    <w:rsid w:val="008E2FF2"/>
    <w:rsid w:val="008E6403"/>
    <w:rsid w:val="008E7C37"/>
    <w:rsid w:val="009038D4"/>
    <w:rsid w:val="0090478A"/>
    <w:rsid w:val="00916A5D"/>
    <w:rsid w:val="00917926"/>
    <w:rsid w:val="00917DFD"/>
    <w:rsid w:val="00920AF1"/>
    <w:rsid w:val="00941FBD"/>
    <w:rsid w:val="00942A24"/>
    <w:rsid w:val="009459EA"/>
    <w:rsid w:val="00950AFD"/>
    <w:rsid w:val="00952796"/>
    <w:rsid w:val="00957067"/>
    <w:rsid w:val="00974F1E"/>
    <w:rsid w:val="0098396D"/>
    <w:rsid w:val="009854A6"/>
    <w:rsid w:val="00994683"/>
    <w:rsid w:val="009974BD"/>
    <w:rsid w:val="009B4258"/>
    <w:rsid w:val="009B71FF"/>
    <w:rsid w:val="009B7A27"/>
    <w:rsid w:val="009C0EC7"/>
    <w:rsid w:val="009C24B1"/>
    <w:rsid w:val="009D12EC"/>
    <w:rsid w:val="009D6543"/>
    <w:rsid w:val="009D6A4B"/>
    <w:rsid w:val="009F0086"/>
    <w:rsid w:val="00A00E16"/>
    <w:rsid w:val="00A10484"/>
    <w:rsid w:val="00A108CF"/>
    <w:rsid w:val="00A441AF"/>
    <w:rsid w:val="00A51B9F"/>
    <w:rsid w:val="00A67B8A"/>
    <w:rsid w:val="00A7036E"/>
    <w:rsid w:val="00A7308F"/>
    <w:rsid w:val="00A807BE"/>
    <w:rsid w:val="00A85ECC"/>
    <w:rsid w:val="00A9014C"/>
    <w:rsid w:val="00A9329E"/>
    <w:rsid w:val="00AA632E"/>
    <w:rsid w:val="00AB46E4"/>
    <w:rsid w:val="00AD08BB"/>
    <w:rsid w:val="00AD53EA"/>
    <w:rsid w:val="00AD6963"/>
    <w:rsid w:val="00B05A9D"/>
    <w:rsid w:val="00B22F7A"/>
    <w:rsid w:val="00B260F1"/>
    <w:rsid w:val="00B311BD"/>
    <w:rsid w:val="00B438AA"/>
    <w:rsid w:val="00B444D6"/>
    <w:rsid w:val="00B47970"/>
    <w:rsid w:val="00B52649"/>
    <w:rsid w:val="00B52715"/>
    <w:rsid w:val="00B66F99"/>
    <w:rsid w:val="00B72011"/>
    <w:rsid w:val="00B809F4"/>
    <w:rsid w:val="00B825BB"/>
    <w:rsid w:val="00B91540"/>
    <w:rsid w:val="00BA3A14"/>
    <w:rsid w:val="00BA69CD"/>
    <w:rsid w:val="00BA7213"/>
    <w:rsid w:val="00BB6501"/>
    <w:rsid w:val="00BC1735"/>
    <w:rsid w:val="00BC760B"/>
    <w:rsid w:val="00BD4C71"/>
    <w:rsid w:val="00BE1346"/>
    <w:rsid w:val="00BE240D"/>
    <w:rsid w:val="00BF1CE2"/>
    <w:rsid w:val="00BF57E2"/>
    <w:rsid w:val="00C05FC1"/>
    <w:rsid w:val="00C07049"/>
    <w:rsid w:val="00C2158E"/>
    <w:rsid w:val="00C22B98"/>
    <w:rsid w:val="00C27F28"/>
    <w:rsid w:val="00C36E81"/>
    <w:rsid w:val="00C37486"/>
    <w:rsid w:val="00C45B5F"/>
    <w:rsid w:val="00C54818"/>
    <w:rsid w:val="00C609AD"/>
    <w:rsid w:val="00C8257E"/>
    <w:rsid w:val="00C942AF"/>
    <w:rsid w:val="00CB648E"/>
    <w:rsid w:val="00CB762A"/>
    <w:rsid w:val="00CC00D9"/>
    <w:rsid w:val="00CC33C6"/>
    <w:rsid w:val="00CC385A"/>
    <w:rsid w:val="00CD7520"/>
    <w:rsid w:val="00CE1711"/>
    <w:rsid w:val="00CE19B6"/>
    <w:rsid w:val="00CF725E"/>
    <w:rsid w:val="00D00BB3"/>
    <w:rsid w:val="00D03596"/>
    <w:rsid w:val="00D054BA"/>
    <w:rsid w:val="00D16871"/>
    <w:rsid w:val="00D42211"/>
    <w:rsid w:val="00D45867"/>
    <w:rsid w:val="00D4612F"/>
    <w:rsid w:val="00D56D5D"/>
    <w:rsid w:val="00D9014F"/>
    <w:rsid w:val="00D91B6E"/>
    <w:rsid w:val="00DA203A"/>
    <w:rsid w:val="00DA47EF"/>
    <w:rsid w:val="00DA6ECD"/>
    <w:rsid w:val="00DB1488"/>
    <w:rsid w:val="00DB4EAD"/>
    <w:rsid w:val="00DC4BBE"/>
    <w:rsid w:val="00DE3FFC"/>
    <w:rsid w:val="00E02ADA"/>
    <w:rsid w:val="00E053BC"/>
    <w:rsid w:val="00E124DB"/>
    <w:rsid w:val="00E13EDA"/>
    <w:rsid w:val="00E142D5"/>
    <w:rsid w:val="00E22786"/>
    <w:rsid w:val="00E22C79"/>
    <w:rsid w:val="00E262DE"/>
    <w:rsid w:val="00E31A81"/>
    <w:rsid w:val="00E3743A"/>
    <w:rsid w:val="00E517E2"/>
    <w:rsid w:val="00E53BDA"/>
    <w:rsid w:val="00E602FC"/>
    <w:rsid w:val="00E643C8"/>
    <w:rsid w:val="00E651A1"/>
    <w:rsid w:val="00E75A36"/>
    <w:rsid w:val="00E84E9C"/>
    <w:rsid w:val="00E95438"/>
    <w:rsid w:val="00EB56EF"/>
    <w:rsid w:val="00EB5E1B"/>
    <w:rsid w:val="00EC21F5"/>
    <w:rsid w:val="00EC35CE"/>
    <w:rsid w:val="00EC707F"/>
    <w:rsid w:val="00EE7C51"/>
    <w:rsid w:val="00EF2297"/>
    <w:rsid w:val="00EF683E"/>
    <w:rsid w:val="00F00BCD"/>
    <w:rsid w:val="00F03EC7"/>
    <w:rsid w:val="00F04A2B"/>
    <w:rsid w:val="00F31E75"/>
    <w:rsid w:val="00F32EC9"/>
    <w:rsid w:val="00F428E3"/>
    <w:rsid w:val="00F56E08"/>
    <w:rsid w:val="00F76754"/>
    <w:rsid w:val="00F82509"/>
    <w:rsid w:val="00F82DB7"/>
    <w:rsid w:val="00F92286"/>
    <w:rsid w:val="00F96E3D"/>
    <w:rsid w:val="00FB3878"/>
    <w:rsid w:val="00FD12F5"/>
    <w:rsid w:val="00FD262C"/>
    <w:rsid w:val="00FD3770"/>
    <w:rsid w:val="00FD4CE8"/>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B852E168-8471-4BEC-8B77-3A6EEDBC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customStyle="1" w:styleId="normaltextrun">
    <w:name w:val="normaltextrun"/>
    <w:basedOn w:val="DefaultParagraphFont"/>
    <w:rsid w:val="00056318"/>
  </w:style>
  <w:style w:type="character" w:styleId="EndnoteReference">
    <w:name w:val="endnote reference"/>
    <w:basedOn w:val="DefaultParagraphFont"/>
    <w:uiPriority w:val="99"/>
    <w:semiHidden/>
    <w:unhideWhenUsed/>
    <w:rsid w:val="00A00E16"/>
    <w:rPr>
      <w:vertAlign w:val="superscript"/>
    </w:rPr>
  </w:style>
  <w:style w:type="table" w:customStyle="1" w:styleId="TableGrid3">
    <w:name w:val="Table Grid3"/>
    <w:basedOn w:val="TableNormal"/>
    <w:next w:val="TableGrid"/>
    <w:uiPriority w:val="39"/>
    <w:rsid w:val="00C8257E"/>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825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thenadd.org/resources/information-on-dual-diagnosis-2/" TargetMode="External"/><Relationship Id="rId2" Type="http://schemas.openxmlformats.org/officeDocument/2006/relationships/hyperlink" Target="https://pwd.org.au/federal-election-2019/" TargetMode="External"/><Relationship Id="rId1" Type="http://schemas.openxmlformats.org/officeDocument/2006/relationships/hyperlink" Target="https://www.pwc.com.au/industry/government/assets/disability-in-australia.pdf" TargetMode="External"/><Relationship Id="rId4" Type="http://schemas.openxmlformats.org/officeDocument/2006/relationships/hyperlink" Target="https://www.dss.gov.au/sites/default/files/documents/05_2012/national_dialogue_strategic_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2E51012B44D2BB7AB8252D13DDD3A"/>
        <w:category>
          <w:name w:val="General"/>
          <w:gallery w:val="placeholder"/>
        </w:category>
        <w:types>
          <w:type w:val="bbPlcHdr"/>
        </w:types>
        <w:behaviors>
          <w:behavior w:val="content"/>
        </w:behaviors>
        <w:guid w:val="{8365F62F-35D6-4E2C-85E5-7108C1346905}"/>
      </w:docPartPr>
      <w:docPartBody>
        <w:p w:rsidR="007D1A45" w:rsidRDefault="005773A5" w:rsidP="005773A5">
          <w:pPr>
            <w:pStyle w:val="C472E51012B44D2BB7AB8252D13DDD3A"/>
          </w:pPr>
          <w:r w:rsidRPr="00DF74B4">
            <w:rPr>
              <w:rStyle w:val="PlaceholderText"/>
            </w:rPr>
            <w:t>Choose an item.</w:t>
          </w:r>
        </w:p>
      </w:docPartBody>
    </w:docPart>
    <w:docPart>
      <w:docPartPr>
        <w:name w:val="DFA69FFC8C8C4C61839526C24A683EE8"/>
        <w:category>
          <w:name w:val="General"/>
          <w:gallery w:val="placeholder"/>
        </w:category>
        <w:types>
          <w:type w:val="bbPlcHdr"/>
        </w:types>
        <w:behaviors>
          <w:behavior w:val="content"/>
        </w:behaviors>
        <w:guid w:val="{AE933F54-D78C-48BA-AD64-3EC6C59BCFF1}"/>
      </w:docPartPr>
      <w:docPartBody>
        <w:p w:rsidR="007D1A45" w:rsidRDefault="005773A5" w:rsidP="005773A5">
          <w:pPr>
            <w:pStyle w:val="DFA69FFC8C8C4C61839526C24A683EE8"/>
          </w:pPr>
          <w:r w:rsidRPr="00DF74B4">
            <w:rPr>
              <w:rStyle w:val="PlaceholderText"/>
            </w:rPr>
            <w:t>Choose an item.</w:t>
          </w:r>
        </w:p>
      </w:docPartBody>
    </w:docPart>
    <w:docPart>
      <w:docPartPr>
        <w:name w:val="320DAB13D719412583FABF328FBD8650"/>
        <w:category>
          <w:name w:val="General"/>
          <w:gallery w:val="placeholder"/>
        </w:category>
        <w:types>
          <w:type w:val="bbPlcHdr"/>
        </w:types>
        <w:behaviors>
          <w:behavior w:val="content"/>
        </w:behaviors>
        <w:guid w:val="{C885AD25-BF3E-484B-B7E6-F0558A40A464}"/>
      </w:docPartPr>
      <w:docPartBody>
        <w:p w:rsidR="007D1A45" w:rsidRDefault="005773A5" w:rsidP="005773A5">
          <w:pPr>
            <w:pStyle w:val="320DAB13D719412583FABF328FBD8650"/>
          </w:pPr>
          <w:r w:rsidRPr="00DF74B4">
            <w:rPr>
              <w:rStyle w:val="PlaceholderText"/>
            </w:rPr>
            <w:t>Choose an item.</w:t>
          </w:r>
        </w:p>
      </w:docPartBody>
    </w:docPart>
    <w:docPart>
      <w:docPartPr>
        <w:name w:val="BB41BA3F72484813AC1C2FD5891C8E7D"/>
        <w:category>
          <w:name w:val="General"/>
          <w:gallery w:val="placeholder"/>
        </w:category>
        <w:types>
          <w:type w:val="bbPlcHdr"/>
        </w:types>
        <w:behaviors>
          <w:behavior w:val="content"/>
        </w:behaviors>
        <w:guid w:val="{452386B0-C2F7-482F-8596-8DD1C9D3EDB4}"/>
      </w:docPartPr>
      <w:docPartBody>
        <w:p w:rsidR="007D1A45" w:rsidRDefault="005773A5" w:rsidP="005773A5">
          <w:pPr>
            <w:pStyle w:val="BB41BA3F72484813AC1C2FD5891C8E7D"/>
          </w:pPr>
          <w:r w:rsidRPr="00DF74B4">
            <w:rPr>
              <w:rStyle w:val="PlaceholderText"/>
            </w:rPr>
            <w:t>Choose an item.</w:t>
          </w:r>
        </w:p>
      </w:docPartBody>
    </w:docPart>
    <w:docPart>
      <w:docPartPr>
        <w:name w:val="9683E92EC100468696FC5E0B3A53CC93"/>
        <w:category>
          <w:name w:val="General"/>
          <w:gallery w:val="placeholder"/>
        </w:category>
        <w:types>
          <w:type w:val="bbPlcHdr"/>
        </w:types>
        <w:behaviors>
          <w:behavior w:val="content"/>
        </w:behaviors>
        <w:guid w:val="{341C86BB-90C3-42E9-B0D4-DC43B1EF6A60}"/>
      </w:docPartPr>
      <w:docPartBody>
        <w:p w:rsidR="007D1A45" w:rsidRDefault="005773A5" w:rsidP="005773A5">
          <w:pPr>
            <w:pStyle w:val="9683E92EC100468696FC5E0B3A53CC93"/>
          </w:pPr>
          <w:r w:rsidRPr="00DF74B4">
            <w:rPr>
              <w:rStyle w:val="PlaceholderText"/>
            </w:rPr>
            <w:t>Choose an item.</w:t>
          </w:r>
        </w:p>
      </w:docPartBody>
    </w:docPart>
    <w:docPart>
      <w:docPartPr>
        <w:name w:val="25F778339AF64354AD1DAFE93635F253"/>
        <w:category>
          <w:name w:val="General"/>
          <w:gallery w:val="placeholder"/>
        </w:category>
        <w:types>
          <w:type w:val="bbPlcHdr"/>
        </w:types>
        <w:behaviors>
          <w:behavior w:val="content"/>
        </w:behaviors>
        <w:guid w:val="{9073EEA9-9EEF-47F8-A580-054CF29677AE}"/>
      </w:docPartPr>
      <w:docPartBody>
        <w:p w:rsidR="007D1A45" w:rsidRDefault="005773A5" w:rsidP="005773A5">
          <w:pPr>
            <w:pStyle w:val="25F778339AF64354AD1DAFE93635F253"/>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5E"/>
    <w:rsid w:val="0008443E"/>
    <w:rsid w:val="0016401A"/>
    <w:rsid w:val="003C39ED"/>
    <w:rsid w:val="003D112A"/>
    <w:rsid w:val="003D6BF8"/>
    <w:rsid w:val="003F5A45"/>
    <w:rsid w:val="00502382"/>
    <w:rsid w:val="005773A5"/>
    <w:rsid w:val="005E3D70"/>
    <w:rsid w:val="006934BD"/>
    <w:rsid w:val="0071524A"/>
    <w:rsid w:val="007D1A45"/>
    <w:rsid w:val="007D7179"/>
    <w:rsid w:val="008B365A"/>
    <w:rsid w:val="008C0BD4"/>
    <w:rsid w:val="008C51BF"/>
    <w:rsid w:val="0096485E"/>
    <w:rsid w:val="00AA20D8"/>
    <w:rsid w:val="00C07848"/>
    <w:rsid w:val="00C334CC"/>
    <w:rsid w:val="00C81BC4"/>
    <w:rsid w:val="00CD21F0"/>
    <w:rsid w:val="00D73AED"/>
    <w:rsid w:val="00F74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3A5"/>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7CBE1FF14AED4CFE9D875620936E1834">
    <w:name w:val="7CBE1FF14AED4CFE9D875620936E1834"/>
    <w:rsid w:val="0016401A"/>
  </w:style>
  <w:style w:type="paragraph" w:customStyle="1" w:styleId="3B2CC109A2B846308776764C0938FCE6">
    <w:name w:val="3B2CC109A2B846308776764C0938FCE6"/>
    <w:rsid w:val="0016401A"/>
  </w:style>
  <w:style w:type="paragraph" w:customStyle="1" w:styleId="881ACDE72C8D40ADBD7ACDAFECAB568D">
    <w:name w:val="881ACDE72C8D40ADBD7ACDAFECAB568D"/>
    <w:rsid w:val="005773A5"/>
  </w:style>
  <w:style w:type="paragraph" w:customStyle="1" w:styleId="FC7EA9E3490246EDAFC13257E74F689E">
    <w:name w:val="FC7EA9E3490246EDAFC13257E74F689E"/>
    <w:rsid w:val="005773A5"/>
  </w:style>
  <w:style w:type="paragraph" w:customStyle="1" w:styleId="7EBEB1D90ADC472A862F918CB7C3F31F">
    <w:name w:val="7EBEB1D90ADC472A862F918CB7C3F31F"/>
    <w:rsid w:val="005773A5"/>
  </w:style>
  <w:style w:type="paragraph" w:customStyle="1" w:styleId="4FE68064C2854897BFAE04DE408C421D">
    <w:name w:val="4FE68064C2854897BFAE04DE408C421D"/>
    <w:rsid w:val="005773A5"/>
  </w:style>
  <w:style w:type="paragraph" w:customStyle="1" w:styleId="C472E51012B44D2BB7AB8252D13DDD3A">
    <w:name w:val="C472E51012B44D2BB7AB8252D13DDD3A"/>
    <w:rsid w:val="005773A5"/>
  </w:style>
  <w:style w:type="paragraph" w:customStyle="1" w:styleId="37502AE3E0D24D5AAB896DAF1C538C1C">
    <w:name w:val="37502AE3E0D24D5AAB896DAF1C538C1C"/>
    <w:rsid w:val="005773A5"/>
  </w:style>
  <w:style w:type="paragraph" w:customStyle="1" w:styleId="24CE4D579F46406EA8926DF2407BF9CC">
    <w:name w:val="24CE4D579F46406EA8926DF2407BF9CC"/>
    <w:rsid w:val="005773A5"/>
  </w:style>
  <w:style w:type="paragraph" w:customStyle="1" w:styleId="8414CAC8E3B54398B65D6CF29533A518">
    <w:name w:val="8414CAC8E3B54398B65D6CF29533A518"/>
    <w:rsid w:val="005773A5"/>
  </w:style>
  <w:style w:type="paragraph" w:customStyle="1" w:styleId="301DB78FEC2349D28381D18DF413112B">
    <w:name w:val="301DB78FEC2349D28381D18DF413112B"/>
    <w:rsid w:val="005773A5"/>
  </w:style>
  <w:style w:type="paragraph" w:customStyle="1" w:styleId="3529B1592EBF4688A34D0B03A13AEBA2">
    <w:name w:val="3529B1592EBF4688A34D0B03A13AEBA2"/>
    <w:rsid w:val="005773A5"/>
  </w:style>
  <w:style w:type="paragraph" w:customStyle="1" w:styleId="DFA69FFC8C8C4C61839526C24A683EE8">
    <w:name w:val="DFA69FFC8C8C4C61839526C24A683EE8"/>
    <w:rsid w:val="005773A5"/>
  </w:style>
  <w:style w:type="paragraph" w:customStyle="1" w:styleId="320DAB13D719412583FABF328FBD8650">
    <w:name w:val="320DAB13D719412583FABF328FBD8650"/>
    <w:rsid w:val="005773A5"/>
  </w:style>
  <w:style w:type="paragraph" w:customStyle="1" w:styleId="BB41BA3F72484813AC1C2FD5891C8E7D">
    <w:name w:val="BB41BA3F72484813AC1C2FD5891C8E7D"/>
    <w:rsid w:val="005773A5"/>
  </w:style>
  <w:style w:type="paragraph" w:customStyle="1" w:styleId="9683E92EC100468696FC5E0B3A53CC93">
    <w:name w:val="9683E92EC100468696FC5E0B3A53CC93"/>
    <w:rsid w:val="005773A5"/>
  </w:style>
  <w:style w:type="paragraph" w:customStyle="1" w:styleId="25F778339AF64354AD1DAFE93635F253">
    <w:name w:val="25F778339AF64354AD1DAFE93635F253"/>
    <w:rsid w:val="00577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81C103C-D748-4161-B8AD-48AF9D13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11</cp:revision>
  <dcterms:created xsi:type="dcterms:W3CDTF">2019-04-11T22:45:00Z</dcterms:created>
  <dcterms:modified xsi:type="dcterms:W3CDTF">2019-04-12T00:12:00Z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