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303" w14:textId="36082122" w:rsidR="00FE5D20" w:rsidRDefault="00FE5D20" w:rsidP="00FE5D20">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C4921EC" w14:textId="69D79829" w:rsidR="00A10484" w:rsidRDefault="005B4C8D" w:rsidP="00FE5D20">
      <w:pPr>
        <w:pStyle w:val="Title"/>
        <w:jc w:val="center"/>
      </w:pPr>
      <w:r>
        <w:t xml:space="preserve">Election 2019 - </w:t>
      </w:r>
      <w:r w:rsidR="00FE5D20">
        <w:t>Casual conversion</w:t>
      </w:r>
    </w:p>
    <w:p w14:paraId="0EF5577B" w14:textId="77777777" w:rsidR="005B4C8D" w:rsidRDefault="005B4C8D" w:rsidP="00FE5D20">
      <w:pPr>
        <w:pStyle w:val="Title"/>
        <w:jc w:val="center"/>
      </w:pPr>
    </w:p>
    <w:p w14:paraId="7C914ED8" w14:textId="6DE6CFDF" w:rsidR="00855982" w:rsidRPr="00EC21F5"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739704B0" w14:textId="4BB860E8" w:rsidR="00EC21F5" w:rsidRPr="00EC21F5" w:rsidRDefault="00FE5D20" w:rsidP="00EC21F5">
      <w:pPr>
        <w:pStyle w:val="ListParagraph"/>
        <w:numPr>
          <w:ilvl w:val="0"/>
          <w:numId w:val="33"/>
        </w:numPr>
        <w:spacing w:after="120"/>
        <w:ind w:left="284" w:hanging="284"/>
        <w:rPr>
          <w:color w:val="000000"/>
          <w:lang w:val="en-US"/>
        </w:rPr>
      </w:pPr>
      <w:r w:rsidRPr="00EC21F5">
        <w:rPr>
          <w:rFonts w:cs="Poppins"/>
          <w:color w:val="000000"/>
        </w:rPr>
        <w:t>Insecure work, incorporating casual work, fixed term contracts, independent contracting and labour hire, has been steadily increasing in Australia. Women are disproportionately impacted by this trend:  26.9 percent of working women are employed on a casual basis, compared to 21.4 percent of men</w:t>
      </w:r>
      <w:r w:rsidRPr="00EC21F5">
        <w:t xml:space="preserve"> </w:t>
      </w:r>
      <w:r w:rsidR="005B4C8D">
        <w:t xml:space="preserve">(WGEA’s </w:t>
      </w:r>
      <w:hyperlink r:id="rId11" w:history="1">
        <w:r w:rsidR="005B4C8D" w:rsidRPr="005B4C8D">
          <w:rPr>
            <w:rStyle w:val="Hyperlink"/>
          </w:rPr>
          <w:t>Gender Equality Scorecard 2016-17</w:t>
        </w:r>
      </w:hyperlink>
      <w:r w:rsidRPr="00EC21F5">
        <w:rPr>
          <w:rFonts w:cs="Poppins"/>
          <w:color w:val="000000"/>
        </w:rPr>
        <w:t>, p. 15).</w:t>
      </w:r>
    </w:p>
    <w:p w14:paraId="0B5D03E2" w14:textId="77777777" w:rsidR="00EC21F5" w:rsidRPr="00EC21F5" w:rsidRDefault="00EC21F5" w:rsidP="00EC21F5">
      <w:pPr>
        <w:pStyle w:val="ListParagraph"/>
        <w:spacing w:after="120"/>
        <w:rPr>
          <w:color w:val="000000"/>
          <w:lang w:val="en-US"/>
        </w:rPr>
      </w:pPr>
    </w:p>
    <w:p w14:paraId="014596FB" w14:textId="5323AD91" w:rsidR="00EC21F5" w:rsidRPr="00EC21F5" w:rsidRDefault="00FE5D20" w:rsidP="00EC21F5">
      <w:pPr>
        <w:pStyle w:val="ListParagraph"/>
        <w:numPr>
          <w:ilvl w:val="0"/>
          <w:numId w:val="33"/>
        </w:numPr>
        <w:spacing w:after="120"/>
        <w:ind w:left="284" w:hanging="284"/>
        <w:rPr>
          <w:color w:val="000000"/>
          <w:lang w:val="en-US"/>
        </w:rPr>
      </w:pPr>
      <w:r w:rsidRPr="00EC21F5">
        <w:t>Modern male-dominated awards covering the construction, manufacturing, electrical and plumbing industries contain a requirement to offer permanent employment to regular and systematic casuals after six months’ employment. This is not replicated in awards covering female-dominated industries.</w:t>
      </w:r>
    </w:p>
    <w:p w14:paraId="65BDC704" w14:textId="77777777" w:rsidR="00EC21F5" w:rsidRPr="00EC21F5" w:rsidRDefault="00EC21F5" w:rsidP="00EC21F5">
      <w:pPr>
        <w:pStyle w:val="ListParagraph"/>
        <w:spacing w:after="120"/>
      </w:pPr>
    </w:p>
    <w:p w14:paraId="7F816F94" w14:textId="3AC0A67D" w:rsidR="005B06C1" w:rsidRPr="005B06C1" w:rsidRDefault="00FE5D20" w:rsidP="005B06C1">
      <w:pPr>
        <w:pStyle w:val="ListParagraph"/>
        <w:numPr>
          <w:ilvl w:val="0"/>
          <w:numId w:val="33"/>
        </w:numPr>
        <w:spacing w:after="120"/>
        <w:ind w:left="284" w:hanging="284"/>
        <w:rPr>
          <w:b/>
          <w:lang w:val="en-US"/>
        </w:rPr>
      </w:pPr>
      <w:r w:rsidRPr="00EC21F5">
        <w:t>The Fair Work Commission (FWC) accepts that the casual loading meant t</w:t>
      </w:r>
      <w:bookmarkStart w:id="0" w:name="_GoBack"/>
      <w:bookmarkEnd w:id="0"/>
      <w:r w:rsidRPr="00EC21F5">
        <w:t>o compensate for the lack of annual and sick leave ‘does not take into account the detriments…includ[ing] attending work while sick, not taking recreational leave because of concerns about whether any absence from work will endanger future employment, the incapacity to properly balance work and attending to personal and caring responsibilities and commitments, changes in working hours without notice, … potential for the sudden loss of what had been regular work without any proper notice or adjustment payment … the lack of a career path, diminished access to training and workplace participation, poorer health and safety outcomes and the inability to obtain loans</w:t>
      </w:r>
      <w:r w:rsidR="00EC21F5" w:rsidRPr="00EC21F5">
        <w:t>’</w:t>
      </w:r>
      <w:r w:rsidRPr="00EC21F5">
        <w:t xml:space="preserve"> </w:t>
      </w:r>
      <w:r w:rsidR="005B4C8D">
        <w:t xml:space="preserve"> (</w:t>
      </w:r>
      <w:hyperlink r:id="rId12" w:history="1">
        <w:r w:rsidR="005B4C8D" w:rsidRPr="005B4C8D">
          <w:rPr>
            <w:rStyle w:val="Hyperlink"/>
          </w:rPr>
          <w:t>Fair Work Commission 2017</w:t>
        </w:r>
      </w:hyperlink>
      <w:r w:rsidR="005B4C8D">
        <w:t xml:space="preserve">, </w:t>
      </w:r>
      <w:r w:rsidRPr="00EC21F5">
        <w:t>para 7)</w:t>
      </w:r>
      <w:r w:rsidR="00EC21F5" w:rsidRPr="00EC21F5">
        <w:t>.</w:t>
      </w:r>
    </w:p>
    <w:p w14:paraId="5BC75350" w14:textId="77777777" w:rsidR="005B06C1" w:rsidRPr="005B06C1" w:rsidRDefault="005B06C1" w:rsidP="005B06C1">
      <w:pPr>
        <w:pStyle w:val="ListParagraph"/>
        <w:rPr>
          <w:b/>
          <w:lang w:val="en-US"/>
        </w:rPr>
      </w:pPr>
    </w:p>
    <w:p w14:paraId="1566B6E4" w14:textId="50810161" w:rsidR="005B06C1" w:rsidRPr="005B06C1" w:rsidRDefault="005B06C1" w:rsidP="005B06C1">
      <w:pPr>
        <w:pStyle w:val="ListParagraph"/>
        <w:numPr>
          <w:ilvl w:val="0"/>
          <w:numId w:val="33"/>
        </w:numPr>
        <w:ind w:left="284" w:hanging="284"/>
        <w:rPr>
          <w:lang w:val="en-US"/>
        </w:rPr>
      </w:pPr>
      <w:r w:rsidRPr="005B06C1">
        <w:rPr>
          <w:lang w:val="en-US"/>
        </w:rPr>
        <w:t xml:space="preserve">The National Employment Standards set no minimum to the number of hours a casual may be called in to cover. </w:t>
      </w:r>
      <w:proofErr w:type="gramStart"/>
      <w:r w:rsidRPr="005B06C1">
        <w:rPr>
          <w:lang w:val="en-US"/>
        </w:rPr>
        <w:t xml:space="preserve">As a </w:t>
      </w:r>
      <w:r w:rsidR="00903F3D" w:rsidRPr="005B06C1">
        <w:rPr>
          <w:lang w:val="en-US"/>
        </w:rPr>
        <w:t>consequence</w:t>
      </w:r>
      <w:proofErr w:type="gramEnd"/>
      <w:r w:rsidR="00903F3D" w:rsidRPr="005B06C1">
        <w:rPr>
          <w:lang w:val="en-US"/>
        </w:rPr>
        <w:t>,</w:t>
      </w:r>
      <w:r w:rsidRPr="005B06C1">
        <w:rPr>
          <w:lang w:val="en-US"/>
        </w:rPr>
        <w:t xml:space="preserve"> a casual employee might be expect</w:t>
      </w:r>
      <w:r w:rsidR="00903F3D">
        <w:rPr>
          <w:lang w:val="en-US"/>
        </w:rPr>
        <w:t>ed</w:t>
      </w:r>
      <w:r w:rsidRPr="005B06C1">
        <w:rPr>
          <w:lang w:val="en-US"/>
        </w:rPr>
        <w:t xml:space="preserve"> to pay travel and child care costs to cover one or two hours of work.</w:t>
      </w:r>
    </w:p>
    <w:p w14:paraId="23A28FE1" w14:textId="77777777" w:rsidR="005B06C1" w:rsidRDefault="005B06C1" w:rsidP="005B06C1">
      <w:pPr>
        <w:pStyle w:val="ListParagraph"/>
      </w:pPr>
    </w:p>
    <w:p w14:paraId="23E15949" w14:textId="3C2F7FE2" w:rsidR="00B96442" w:rsidRPr="00B96442" w:rsidRDefault="00B96442" w:rsidP="005B06C1">
      <w:pPr>
        <w:pStyle w:val="ListParagraph"/>
        <w:numPr>
          <w:ilvl w:val="0"/>
          <w:numId w:val="33"/>
        </w:numPr>
        <w:spacing w:after="120"/>
        <w:ind w:left="284" w:hanging="284"/>
        <w:rPr>
          <w:b/>
          <w:lang w:val="en-US"/>
        </w:rPr>
      </w:pPr>
      <w:r>
        <w:t>The FWC has proposed a draft model casual conversion clause for the subset of awards lacking any current clause. This specifies a qualifying period of 12 calendar months involving a regular pattern of hours, and enables conversion to be refused on the grounds that it would require a significant adjustment to the casual employee's hours of work to accommodate them in full-time or part-time employment, or that it is known or reasonably foreseeable that the casual employee's position will cease to exist, or  that the employee's hours of work will significantly change or be reduced within the next 12 months, or on other reasonable grounds. A 2-hour minimum engagement period for casuals is also proposed</w:t>
      </w:r>
      <w:r w:rsidR="005B4C8D">
        <w:t xml:space="preserve"> (</w:t>
      </w:r>
      <w:hyperlink r:id="rId13" w:history="1">
        <w:r w:rsidR="005B4C8D" w:rsidRPr="005B4C8D">
          <w:rPr>
            <w:rStyle w:val="Hyperlink"/>
          </w:rPr>
          <w:t>Fair Work Commission 2017</w:t>
        </w:r>
      </w:hyperlink>
      <w:r>
        <w:t>).</w:t>
      </w:r>
    </w:p>
    <w:p w14:paraId="3EF94D79" w14:textId="77777777" w:rsidR="006676B3" w:rsidRPr="00502A64" w:rsidRDefault="006676B3" w:rsidP="006676B3">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6676B3" w:rsidRPr="00502A64" w14:paraId="59B4D95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7D1DEB20" w14:textId="77777777" w:rsidR="006676B3" w:rsidRPr="00502A64" w:rsidRDefault="006676B3"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FD23876" w14:textId="77777777" w:rsidR="006676B3" w:rsidRPr="00502A64" w:rsidRDefault="006676B3"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ECD013A" w14:textId="77777777" w:rsidR="006676B3" w:rsidRPr="00502A64" w:rsidRDefault="006676B3"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0A040069" w14:textId="77777777" w:rsidR="006676B3" w:rsidRPr="00502A64" w:rsidRDefault="006676B3" w:rsidP="006676B3">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6676B3" w:rsidRPr="00502A64" w14:paraId="7D1A03D0" w14:textId="77777777" w:rsidTr="00555D83">
        <w:tc>
          <w:tcPr>
            <w:tcW w:w="9350" w:type="dxa"/>
            <w:gridSpan w:val="3"/>
            <w:shd w:val="clear" w:color="auto" w:fill="ED7D31"/>
          </w:tcPr>
          <w:p w14:paraId="56906907" w14:textId="77777777" w:rsidR="006676B3" w:rsidRPr="00502A64" w:rsidRDefault="006676B3"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6676B3" w:rsidRPr="00502A64" w14:paraId="30050FF0" w14:textId="77777777" w:rsidTr="00555D83">
        <w:tc>
          <w:tcPr>
            <w:tcW w:w="9350" w:type="dxa"/>
            <w:gridSpan w:val="3"/>
          </w:tcPr>
          <w:p w14:paraId="6A112D55" w14:textId="02F209B0" w:rsidR="006676B3" w:rsidRPr="006676B3" w:rsidRDefault="006676B3" w:rsidP="00555D83">
            <w:pPr>
              <w:rPr>
                <w:rFonts w:ascii="Calibri" w:eastAsia="Times New Roman" w:hAnsi="Calibri" w:cs="Calibri"/>
                <w:sz w:val="20"/>
                <w:szCs w:val="20"/>
                <w:lang w:eastAsia="en-GB"/>
              </w:rPr>
            </w:pPr>
            <w:r w:rsidRPr="006676B3">
              <w:rPr>
                <w:rFonts w:ascii="Calibri" w:eastAsia="Times New Roman" w:hAnsi="Calibri" w:cs="Calibri"/>
                <w:sz w:val="20"/>
                <w:szCs w:val="20"/>
                <w:lang w:val="en-US" w:eastAsia="en-GB"/>
              </w:rPr>
              <w:t xml:space="preserve">NFAW has recommended that those who have worked on a regular or systematic basis for six consecutive months should have a legislated entitlement to convert to permanent work if they choose.  It has also recommended a </w:t>
            </w:r>
            <w:r w:rsidR="003D24CB" w:rsidRPr="006676B3">
              <w:rPr>
                <w:rFonts w:ascii="Calibri" w:eastAsia="Times New Roman" w:hAnsi="Calibri" w:cs="Calibri"/>
                <w:sz w:val="20"/>
                <w:szCs w:val="20"/>
                <w:lang w:val="en-US" w:eastAsia="en-GB"/>
              </w:rPr>
              <w:t>3-hour</w:t>
            </w:r>
            <w:r w:rsidRPr="006676B3">
              <w:rPr>
                <w:rFonts w:ascii="Calibri" w:eastAsia="Times New Roman" w:hAnsi="Calibri" w:cs="Calibri"/>
                <w:sz w:val="20"/>
                <w:szCs w:val="20"/>
                <w:lang w:val="en-US" w:eastAsia="en-GB"/>
              </w:rPr>
              <w:t xml:space="preserve"> minimum engagement period.</w:t>
            </w:r>
          </w:p>
        </w:tc>
      </w:tr>
      <w:tr w:rsidR="006676B3" w:rsidRPr="00502A64" w14:paraId="5B3D7954" w14:textId="77777777" w:rsidTr="00555D83">
        <w:trPr>
          <w:trHeight w:val="248"/>
        </w:trPr>
        <w:tc>
          <w:tcPr>
            <w:tcW w:w="9350" w:type="dxa"/>
            <w:gridSpan w:val="3"/>
            <w:shd w:val="clear" w:color="auto" w:fill="FDE5CC" w:themeFill="accent1" w:themeFillTint="33"/>
          </w:tcPr>
          <w:p w14:paraId="4D413FE8" w14:textId="77777777" w:rsidR="006676B3" w:rsidRPr="00502A64" w:rsidRDefault="006676B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6676B3" w:rsidRPr="00502A64" w14:paraId="4686B3A1" w14:textId="77777777" w:rsidTr="00555D83">
        <w:trPr>
          <w:trHeight w:val="248"/>
        </w:trPr>
        <w:tc>
          <w:tcPr>
            <w:tcW w:w="3116" w:type="dxa"/>
            <w:shd w:val="clear" w:color="auto" w:fill="FFFFFF" w:themeFill="background1"/>
          </w:tcPr>
          <w:p w14:paraId="60646162" w14:textId="77777777" w:rsidR="006676B3" w:rsidRPr="00502A64" w:rsidRDefault="006676B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5F8CC97" w14:textId="77777777" w:rsidR="006676B3" w:rsidRPr="00502A64" w:rsidRDefault="006676B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4CD641E" w14:textId="77777777" w:rsidR="006676B3" w:rsidRPr="00502A64" w:rsidRDefault="006676B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6676B3" w:rsidRPr="00502A64" w14:paraId="791AB75E" w14:textId="77777777" w:rsidTr="005B4C8D">
        <w:trPr>
          <w:trHeight w:val="247"/>
        </w:trPr>
        <w:tc>
          <w:tcPr>
            <w:tcW w:w="3116" w:type="dxa"/>
            <w:shd w:val="clear" w:color="auto" w:fill="FDE5CC" w:themeFill="accent1" w:themeFillTint="33"/>
          </w:tcPr>
          <w:p w14:paraId="38A6146F" w14:textId="070E07D1" w:rsidR="006676B3" w:rsidRPr="00630AB9" w:rsidRDefault="00630AB9" w:rsidP="00555D83">
            <w:pPr>
              <w:rPr>
                <w:rFonts w:ascii="Calibri" w:eastAsia="Times New Roman" w:hAnsi="Calibri" w:cs="Calibri"/>
                <w:sz w:val="20"/>
                <w:szCs w:val="20"/>
                <w:lang w:eastAsia="en-GB"/>
              </w:rPr>
            </w:pPr>
            <w:r w:rsidRPr="00630AB9">
              <w:rPr>
                <w:rFonts w:ascii="Calibri" w:eastAsia="Times New Roman" w:hAnsi="Calibri" w:cs="Calibri"/>
                <w:sz w:val="20"/>
                <w:szCs w:val="20"/>
                <w:lang w:eastAsia="en-GB"/>
              </w:rPr>
              <w:t>Labor will: legislate to ensure</w:t>
            </w:r>
          </w:p>
          <w:p w14:paraId="17D67F1F" w14:textId="4C2261E3" w:rsidR="003021AD" w:rsidRPr="00630AB9" w:rsidRDefault="003021AD" w:rsidP="003021AD">
            <w:pPr>
              <w:rPr>
                <w:rFonts w:ascii="Calibri" w:eastAsia="Times New Roman" w:hAnsi="Calibri" w:cs="Calibri"/>
                <w:sz w:val="20"/>
                <w:szCs w:val="20"/>
                <w:lang w:eastAsia="en-GB"/>
              </w:rPr>
            </w:pPr>
            <w:r w:rsidRPr="00630AB9">
              <w:rPr>
                <w:rFonts w:ascii="Calibri" w:eastAsia="Times New Roman" w:hAnsi="Calibri" w:cs="Calibri"/>
                <w:sz w:val="20"/>
                <w:szCs w:val="20"/>
                <w:lang w:eastAsia="en-GB"/>
              </w:rPr>
              <w:t>workers can’t be forced to be ‘permanent casuals’</w:t>
            </w:r>
            <w:r w:rsidR="00630AB9" w:rsidRPr="00630AB9">
              <w:rPr>
                <w:rFonts w:ascii="Calibri" w:eastAsia="Times New Roman" w:hAnsi="Calibri" w:cs="Calibri"/>
                <w:sz w:val="20"/>
                <w:szCs w:val="20"/>
                <w:lang w:eastAsia="en-GB"/>
              </w:rPr>
              <w:t xml:space="preserve"> </w:t>
            </w:r>
            <w:r w:rsidR="00AA5DA3" w:rsidRPr="003B007E">
              <w:rPr>
                <w:rFonts w:ascii="Calibri" w:eastAsia="Times New Roman" w:hAnsi="Calibri" w:cs="Calibri"/>
                <w:sz w:val="20"/>
                <w:szCs w:val="20"/>
                <w:lang w:eastAsia="en-GB"/>
              </w:rPr>
              <w:t>including legislating an objective definition for determining</w:t>
            </w:r>
            <w:r w:rsidR="00AA5DA3">
              <w:rPr>
                <w:rFonts w:ascii="Calibri" w:eastAsia="Times New Roman" w:hAnsi="Calibri" w:cs="Calibri"/>
                <w:sz w:val="20"/>
                <w:szCs w:val="20"/>
                <w:lang w:eastAsia="en-GB"/>
              </w:rPr>
              <w:t xml:space="preserve"> </w:t>
            </w:r>
            <w:r w:rsidR="00AA5DA3" w:rsidRPr="003B007E">
              <w:rPr>
                <w:rFonts w:ascii="Calibri" w:eastAsia="Times New Roman" w:hAnsi="Calibri" w:cs="Calibri"/>
                <w:sz w:val="20"/>
                <w:szCs w:val="20"/>
                <w:lang w:eastAsia="en-GB"/>
              </w:rPr>
              <w:t xml:space="preserve">when a worker can be required to work as a </w:t>
            </w:r>
            <w:r w:rsidR="005B4C8D" w:rsidRPr="003B007E">
              <w:rPr>
                <w:rFonts w:ascii="Calibri" w:eastAsia="Times New Roman" w:hAnsi="Calibri" w:cs="Calibri"/>
                <w:sz w:val="20"/>
                <w:szCs w:val="20"/>
                <w:lang w:eastAsia="en-GB"/>
              </w:rPr>
              <w:t>casual</w:t>
            </w:r>
            <w:r w:rsidR="005B4C8D" w:rsidRPr="00630AB9">
              <w:rPr>
                <w:rFonts w:ascii="Calibri" w:eastAsia="Times New Roman" w:hAnsi="Calibri" w:cs="Calibri"/>
                <w:sz w:val="20"/>
                <w:szCs w:val="20"/>
                <w:lang w:eastAsia="en-GB"/>
              </w:rPr>
              <w:t xml:space="preserve"> </w:t>
            </w:r>
            <w:r w:rsidR="005B4C8D">
              <w:rPr>
                <w:rFonts w:ascii="Calibri" w:eastAsia="Times New Roman" w:hAnsi="Calibri" w:cs="Calibri"/>
                <w:sz w:val="20"/>
                <w:szCs w:val="20"/>
                <w:lang w:eastAsia="en-GB"/>
              </w:rPr>
              <w:t>(</w:t>
            </w:r>
            <w:r w:rsidR="00AA5DA3">
              <w:rPr>
                <w:rFonts w:ascii="Calibri" w:eastAsia="Times New Roman" w:hAnsi="Calibri" w:cs="Calibri"/>
                <w:sz w:val="20"/>
                <w:szCs w:val="20"/>
                <w:lang w:eastAsia="en-GB"/>
              </w:rPr>
              <w:t xml:space="preserve">Women’s Budget) </w:t>
            </w:r>
            <w:r w:rsidRPr="00630AB9">
              <w:rPr>
                <w:rFonts w:ascii="Calibri" w:eastAsia="Times New Roman" w:hAnsi="Calibri" w:cs="Calibri"/>
                <w:sz w:val="20"/>
                <w:szCs w:val="20"/>
                <w:lang w:eastAsia="en-GB"/>
              </w:rPr>
              <w:t>and the introduction of an objective test for deciding when a worker is a casual.</w:t>
            </w:r>
          </w:p>
          <w:p w14:paraId="46DCB8A7" w14:textId="77777777" w:rsidR="003021AD" w:rsidRDefault="00630AB9" w:rsidP="003021AD">
            <w:pPr>
              <w:rPr>
                <w:rFonts w:ascii="Calibri" w:eastAsia="Times New Roman" w:hAnsi="Calibri" w:cs="Calibri"/>
                <w:sz w:val="20"/>
                <w:szCs w:val="20"/>
                <w:lang w:eastAsia="en-GB"/>
              </w:rPr>
            </w:pPr>
            <w:r w:rsidRPr="00630AB9">
              <w:rPr>
                <w:rFonts w:ascii="Calibri" w:eastAsia="Times New Roman" w:hAnsi="Calibri" w:cs="Calibri"/>
                <w:sz w:val="20"/>
                <w:szCs w:val="20"/>
                <w:lang w:eastAsia="en-GB"/>
              </w:rPr>
              <w:t>(</w:t>
            </w:r>
            <w:r w:rsidR="00CB17D9" w:rsidRPr="00630AB9">
              <w:rPr>
                <w:rFonts w:ascii="Calibri" w:eastAsia="Times New Roman" w:hAnsi="Calibri" w:cs="Calibri"/>
                <w:sz w:val="20"/>
                <w:szCs w:val="20"/>
                <w:lang w:eastAsia="en-GB"/>
              </w:rPr>
              <w:t>16</w:t>
            </w:r>
            <w:r w:rsidRPr="00630AB9">
              <w:rPr>
                <w:rFonts w:ascii="Calibri" w:eastAsia="Times New Roman" w:hAnsi="Calibri" w:cs="Calibri"/>
                <w:sz w:val="20"/>
                <w:szCs w:val="20"/>
                <w:lang w:eastAsia="en-GB"/>
              </w:rPr>
              <w:t>/</w:t>
            </w:r>
            <w:r w:rsidR="00CB17D9" w:rsidRPr="00630AB9">
              <w:rPr>
                <w:rFonts w:ascii="Calibri" w:eastAsia="Times New Roman" w:hAnsi="Calibri" w:cs="Calibri"/>
                <w:sz w:val="20"/>
                <w:szCs w:val="20"/>
                <w:lang w:eastAsia="en-GB"/>
              </w:rPr>
              <w:t>6</w:t>
            </w:r>
            <w:r w:rsidRPr="00630AB9">
              <w:rPr>
                <w:rFonts w:ascii="Calibri" w:eastAsia="Times New Roman" w:hAnsi="Calibri" w:cs="Calibri"/>
                <w:sz w:val="20"/>
                <w:szCs w:val="20"/>
                <w:lang w:eastAsia="en-GB"/>
              </w:rPr>
              <w:t>/</w:t>
            </w:r>
            <w:r w:rsidR="00CB17D9" w:rsidRPr="00630AB9">
              <w:rPr>
                <w:rFonts w:ascii="Calibri" w:eastAsia="Times New Roman" w:hAnsi="Calibri" w:cs="Calibri"/>
                <w:sz w:val="20"/>
                <w:szCs w:val="20"/>
                <w:lang w:eastAsia="en-GB"/>
              </w:rPr>
              <w:t>18</w:t>
            </w:r>
            <w:r w:rsidRPr="00630AB9">
              <w:rPr>
                <w:rFonts w:ascii="Calibri" w:eastAsia="Times New Roman" w:hAnsi="Calibri" w:cs="Calibri"/>
                <w:sz w:val="20"/>
                <w:szCs w:val="20"/>
                <w:lang w:eastAsia="en-GB"/>
              </w:rPr>
              <w:t>)</w:t>
            </w:r>
          </w:p>
          <w:p w14:paraId="566AC435" w14:textId="4717AE64" w:rsidR="003B007E" w:rsidRPr="00630AB9" w:rsidRDefault="00630AB9" w:rsidP="003B007E">
            <w:pPr>
              <w:rPr>
                <w:rFonts w:ascii="Calibri" w:eastAsia="Times New Roman" w:hAnsi="Calibri" w:cs="Calibri"/>
                <w:sz w:val="20"/>
                <w:szCs w:val="20"/>
                <w:lang w:eastAsia="en-GB"/>
              </w:rPr>
            </w:pPr>
            <w:r w:rsidRPr="00630AB9">
              <w:rPr>
                <w:rFonts w:ascii="Calibri" w:eastAsia="Times New Roman" w:hAnsi="Calibri" w:cs="Calibri"/>
                <w:sz w:val="20"/>
                <w:szCs w:val="20"/>
                <w:lang w:eastAsia="en-GB"/>
              </w:rPr>
              <w:t>No commitment re</w:t>
            </w:r>
            <w:r w:rsidR="001005C4">
              <w:rPr>
                <w:rFonts w:ascii="Calibri" w:eastAsia="Times New Roman" w:hAnsi="Calibri" w:cs="Calibri"/>
                <w:sz w:val="20"/>
                <w:szCs w:val="20"/>
                <w:lang w:eastAsia="en-GB"/>
              </w:rPr>
              <w:t xml:space="preserve"> conversion or</w:t>
            </w:r>
            <w:r w:rsidRPr="00630AB9">
              <w:rPr>
                <w:rFonts w:ascii="Calibri" w:eastAsia="Times New Roman" w:hAnsi="Calibri" w:cs="Calibri"/>
                <w:sz w:val="20"/>
                <w:szCs w:val="20"/>
                <w:lang w:eastAsia="en-GB"/>
              </w:rPr>
              <w:t xml:space="preserve"> minimum engagement.</w:t>
            </w:r>
          </w:p>
        </w:tc>
        <w:tc>
          <w:tcPr>
            <w:tcW w:w="3117" w:type="dxa"/>
            <w:shd w:val="clear" w:color="auto" w:fill="FFFFFF" w:themeFill="background1"/>
          </w:tcPr>
          <w:p w14:paraId="58F615F2" w14:textId="77777777" w:rsidR="006676B3" w:rsidRPr="00502A64" w:rsidRDefault="006676B3" w:rsidP="00555D83">
            <w:pPr>
              <w:rPr>
                <w:rFonts w:ascii="Calibri" w:eastAsia="Times New Roman" w:hAnsi="Calibri" w:cs="Calibri"/>
                <w:b/>
                <w:sz w:val="20"/>
                <w:szCs w:val="20"/>
                <w:lang w:eastAsia="en-GB"/>
              </w:rPr>
            </w:pPr>
          </w:p>
        </w:tc>
        <w:tc>
          <w:tcPr>
            <w:tcW w:w="3117" w:type="dxa"/>
            <w:shd w:val="clear" w:color="auto" w:fill="FFFFFF" w:themeFill="background1"/>
          </w:tcPr>
          <w:p w14:paraId="73B4C5F2" w14:textId="77777777" w:rsidR="006676B3" w:rsidRPr="00502A64" w:rsidRDefault="006676B3" w:rsidP="00555D83">
            <w:pPr>
              <w:rPr>
                <w:rFonts w:ascii="Calibri" w:eastAsia="Times New Roman" w:hAnsi="Calibri" w:cs="Calibri"/>
                <w:b/>
                <w:sz w:val="20"/>
                <w:szCs w:val="20"/>
                <w:lang w:eastAsia="en-GB"/>
              </w:rPr>
            </w:pPr>
          </w:p>
        </w:tc>
      </w:tr>
    </w:tbl>
    <w:p w14:paraId="16CA53FB" w14:textId="77777777" w:rsidR="006676B3" w:rsidRDefault="006676B3" w:rsidP="006676B3"/>
    <w:tbl>
      <w:tblPr>
        <w:tblStyle w:val="ListTable4-Accent21"/>
        <w:tblW w:w="0" w:type="auto"/>
        <w:tblLook w:val="04A0" w:firstRow="1" w:lastRow="0" w:firstColumn="1" w:lastColumn="0" w:noHBand="0" w:noVBand="1"/>
      </w:tblPr>
      <w:tblGrid>
        <w:gridCol w:w="3102"/>
        <w:gridCol w:w="1183"/>
        <w:gridCol w:w="5065"/>
      </w:tblGrid>
      <w:tr w:rsidR="006676B3" w:rsidRPr="00502A64" w14:paraId="28749D4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B048BD0" w14:textId="77777777" w:rsidR="006676B3" w:rsidRPr="00502A64" w:rsidRDefault="006676B3"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6676B3" w:rsidRPr="00502A64" w14:paraId="0CFD7693"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1CC28A3B" w14:textId="77777777" w:rsidR="006676B3" w:rsidRPr="00502A64" w:rsidRDefault="006676B3"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6E3DC050" w14:textId="77777777" w:rsidR="006676B3" w:rsidRPr="00502A64" w:rsidRDefault="006676B3"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5207B6D2" w14:textId="77777777" w:rsidR="006676B3" w:rsidRPr="00502A64" w:rsidRDefault="006676B3"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6676B3" w:rsidRPr="00502A64" w14:paraId="1A055A5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2BAA889" w14:textId="77777777" w:rsidR="006676B3" w:rsidRPr="00BC5760" w:rsidRDefault="006676B3"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9B2E0C0243ED4B3791650E6B3BA1C430"/>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DE08661" w14:textId="77777777" w:rsidR="006676B3" w:rsidRDefault="006676B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299025C2" w14:textId="77777777" w:rsidR="006676B3" w:rsidRPr="00BC5760" w:rsidRDefault="006676B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6676B3" w:rsidRPr="00502A64" w14:paraId="68BF6E11"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A66C345" w14:textId="77777777" w:rsidR="006676B3" w:rsidRPr="00BC5760" w:rsidRDefault="006676B3"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57E21F9343FE498EAD9265945D938A11"/>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35E12D9" w14:textId="77777777" w:rsidR="006676B3" w:rsidRDefault="006676B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B05CE12" w14:textId="77777777" w:rsidR="006676B3" w:rsidRPr="00BC5760" w:rsidRDefault="006676B3"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6676B3" w:rsidRPr="00502A64" w14:paraId="43CBE47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2EE60BD" w14:textId="77777777" w:rsidR="006676B3" w:rsidRPr="00BC5760" w:rsidRDefault="006676B3"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7570A4F503E044CE84D702AAFB609899"/>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E01EEFA" w14:textId="77777777" w:rsidR="006676B3" w:rsidRDefault="006676B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B39CF21" w14:textId="77777777" w:rsidR="006676B3" w:rsidRPr="00BC5760" w:rsidRDefault="006676B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00080A37" w14:textId="77777777" w:rsidR="006676B3" w:rsidRPr="00502A64" w:rsidRDefault="006676B3" w:rsidP="006676B3">
      <w:pPr>
        <w:rPr>
          <w:rFonts w:ascii="Calibri" w:eastAsia="Times New Roman" w:hAnsi="Calibri" w:cs="Times New Roman"/>
        </w:rPr>
      </w:pPr>
    </w:p>
    <w:p w14:paraId="6938B15E" w14:textId="145B5A3F" w:rsidR="006676B3" w:rsidRPr="006676B3" w:rsidRDefault="006676B3" w:rsidP="006676B3">
      <w:pPr>
        <w:spacing w:after="120"/>
        <w:rPr>
          <w:sz w:val="20"/>
          <w:szCs w:val="20"/>
        </w:rPr>
      </w:pPr>
      <w:r w:rsidRPr="006676B3">
        <w:rPr>
          <w:sz w:val="20"/>
          <w:szCs w:val="20"/>
        </w:rPr>
        <w:t>Authorised by Kate Gunn, Sydney</w:t>
      </w:r>
      <w:r>
        <w:rPr>
          <w:sz w:val="20"/>
          <w:szCs w:val="20"/>
        </w:rPr>
        <w:t>.</w:t>
      </w:r>
    </w:p>
    <w:sectPr w:rsidR="006676B3" w:rsidRPr="006676B3" w:rsidSect="00855982">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6EF1" w14:textId="77777777" w:rsidR="00F65B54" w:rsidRDefault="00F65B54" w:rsidP="00855982">
      <w:pPr>
        <w:spacing w:after="0" w:line="240" w:lineRule="auto"/>
      </w:pPr>
      <w:r>
        <w:separator/>
      </w:r>
    </w:p>
  </w:endnote>
  <w:endnote w:type="continuationSeparator" w:id="0">
    <w:p w14:paraId="78CE0924" w14:textId="77777777" w:rsidR="00F65B54" w:rsidRDefault="00F65B5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6401" w14:textId="77777777" w:rsidR="00F65B54" w:rsidRDefault="00F65B54" w:rsidP="00855982">
      <w:pPr>
        <w:spacing w:after="0" w:line="240" w:lineRule="auto"/>
      </w:pPr>
      <w:r>
        <w:separator/>
      </w:r>
    </w:p>
  </w:footnote>
  <w:footnote w:type="continuationSeparator" w:id="0">
    <w:p w14:paraId="5C405239" w14:textId="77777777" w:rsidR="00F65B54" w:rsidRDefault="00F65B54"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21"/>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8"/>
  </w:num>
  <w:num w:numId="30">
    <w:abstractNumId w:val="19"/>
  </w:num>
  <w:num w:numId="31">
    <w:abstractNumId w:val="17"/>
  </w:num>
  <w:num w:numId="32">
    <w:abstractNumId w:val="20"/>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1005C4"/>
    <w:rsid w:val="001438CF"/>
    <w:rsid w:val="001D4362"/>
    <w:rsid w:val="003021AD"/>
    <w:rsid w:val="003B007E"/>
    <w:rsid w:val="003D24CB"/>
    <w:rsid w:val="00431DAE"/>
    <w:rsid w:val="00481067"/>
    <w:rsid w:val="005B06C1"/>
    <w:rsid w:val="005B4C8D"/>
    <w:rsid w:val="00630AB9"/>
    <w:rsid w:val="006676B3"/>
    <w:rsid w:val="007833A7"/>
    <w:rsid w:val="00855982"/>
    <w:rsid w:val="00867A42"/>
    <w:rsid w:val="00886738"/>
    <w:rsid w:val="00903F3D"/>
    <w:rsid w:val="00A10484"/>
    <w:rsid w:val="00AA5DA3"/>
    <w:rsid w:val="00B96442"/>
    <w:rsid w:val="00C47096"/>
    <w:rsid w:val="00CB17D9"/>
    <w:rsid w:val="00E43C7E"/>
    <w:rsid w:val="00EC21F5"/>
    <w:rsid w:val="00F65B54"/>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table" w:customStyle="1" w:styleId="ListTable4-Accent21">
    <w:name w:val="List Table 4 - Accent 21"/>
    <w:basedOn w:val="TableNormal"/>
    <w:next w:val="ListTable4-Accent2"/>
    <w:uiPriority w:val="49"/>
    <w:rsid w:val="006676B3"/>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6676B3"/>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676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6676B3"/>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66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wc.gov.au/documents/documents/summaries/2017fwcfb3541-summar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wc.gov.au/documents/documents/summaries/2017fwcfb3541-summar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gea.gov.au/sites/default/files/2016-17-gender-equality-scorecard.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E0C0243ED4B3791650E6B3BA1C430"/>
        <w:category>
          <w:name w:val="General"/>
          <w:gallery w:val="placeholder"/>
        </w:category>
        <w:types>
          <w:type w:val="bbPlcHdr"/>
        </w:types>
        <w:behaviors>
          <w:behavior w:val="content"/>
        </w:behaviors>
        <w:guid w:val="{AFF2DB6B-1880-4097-BDC3-3EBD3578AED7}"/>
      </w:docPartPr>
      <w:docPartBody>
        <w:p w:rsidR="0042034D" w:rsidRDefault="00482DF6" w:rsidP="00482DF6">
          <w:pPr>
            <w:pStyle w:val="9B2E0C0243ED4B3791650E6B3BA1C430"/>
          </w:pPr>
          <w:r w:rsidRPr="00DF74B4">
            <w:rPr>
              <w:rStyle w:val="PlaceholderText"/>
            </w:rPr>
            <w:t>Choose an item.</w:t>
          </w:r>
        </w:p>
      </w:docPartBody>
    </w:docPart>
    <w:docPart>
      <w:docPartPr>
        <w:name w:val="57E21F9343FE498EAD9265945D938A11"/>
        <w:category>
          <w:name w:val="General"/>
          <w:gallery w:val="placeholder"/>
        </w:category>
        <w:types>
          <w:type w:val="bbPlcHdr"/>
        </w:types>
        <w:behaviors>
          <w:behavior w:val="content"/>
        </w:behaviors>
        <w:guid w:val="{04D12110-76AC-4EA0-9D7E-B3DC93A21068}"/>
      </w:docPartPr>
      <w:docPartBody>
        <w:p w:rsidR="0042034D" w:rsidRDefault="00482DF6" w:rsidP="00482DF6">
          <w:pPr>
            <w:pStyle w:val="57E21F9343FE498EAD9265945D938A11"/>
          </w:pPr>
          <w:r w:rsidRPr="00DF74B4">
            <w:rPr>
              <w:rStyle w:val="PlaceholderText"/>
            </w:rPr>
            <w:t>Choose an item.</w:t>
          </w:r>
        </w:p>
      </w:docPartBody>
    </w:docPart>
    <w:docPart>
      <w:docPartPr>
        <w:name w:val="7570A4F503E044CE84D702AAFB609899"/>
        <w:category>
          <w:name w:val="General"/>
          <w:gallery w:val="placeholder"/>
        </w:category>
        <w:types>
          <w:type w:val="bbPlcHdr"/>
        </w:types>
        <w:behaviors>
          <w:behavior w:val="content"/>
        </w:behaviors>
        <w:guid w:val="{86876313-6500-468E-9C53-66E0B2F415D7}"/>
      </w:docPartPr>
      <w:docPartBody>
        <w:p w:rsidR="0042034D" w:rsidRDefault="00482DF6" w:rsidP="00482DF6">
          <w:pPr>
            <w:pStyle w:val="7570A4F503E044CE84D702AAFB609899"/>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F6"/>
    <w:rsid w:val="00316556"/>
    <w:rsid w:val="0042034D"/>
    <w:rsid w:val="00461C89"/>
    <w:rsid w:val="00482DF6"/>
    <w:rsid w:val="00735F83"/>
    <w:rsid w:val="00995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DF6"/>
    <w:rPr>
      <w:color w:val="595959" w:themeColor="text1" w:themeTint="A6"/>
    </w:rPr>
  </w:style>
  <w:style w:type="paragraph" w:customStyle="1" w:styleId="9B2E0C0243ED4B3791650E6B3BA1C430">
    <w:name w:val="9B2E0C0243ED4B3791650E6B3BA1C430"/>
    <w:rsid w:val="00482DF6"/>
  </w:style>
  <w:style w:type="paragraph" w:customStyle="1" w:styleId="57E21F9343FE498EAD9265945D938A11">
    <w:name w:val="57E21F9343FE498EAD9265945D938A11"/>
    <w:rsid w:val="00482DF6"/>
  </w:style>
  <w:style w:type="paragraph" w:customStyle="1" w:styleId="7570A4F503E044CE84D702AAFB609899">
    <w:name w:val="7570A4F503E044CE84D702AAFB609899"/>
    <w:rsid w:val="00482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2019-04-22T03:29:00Z</dcterms:created>
  <dcterms:modified xsi:type="dcterms:W3CDTF">2019-04-22T03:29:00Z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