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8A9DC" w14:textId="3958C9F7" w:rsidR="00444743" w:rsidRDefault="00FE5D20" w:rsidP="00706D7D">
      <w:pPr>
        <w:pStyle w:val="Title"/>
        <w:jc w:val="center"/>
      </w:pPr>
      <w:r w:rsidRPr="00AA56E0">
        <w:rPr>
          <w:noProof/>
          <w:lang w:val="en-AU" w:eastAsia="en-AU"/>
        </w:rPr>
        <w:drawing>
          <wp:inline distT="0" distB="0" distL="0" distR="0" wp14:anchorId="70EBE6A5" wp14:editId="24FC4B38">
            <wp:extent cx="2084705" cy="1045328"/>
            <wp:effectExtent l="0" t="0" r="0" b="254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4705" cy="1045328"/>
                    </a:xfrm>
                    <a:prstGeom prst="rect">
                      <a:avLst/>
                    </a:prstGeom>
                    <a:noFill/>
                    <a:ln>
                      <a:noFill/>
                    </a:ln>
                  </pic:spPr>
                </pic:pic>
              </a:graphicData>
            </a:graphic>
          </wp:inline>
        </w:drawing>
      </w:r>
    </w:p>
    <w:p w14:paraId="3C4921EC" w14:textId="3D51E9D2" w:rsidR="00A10484" w:rsidRDefault="00156C1B" w:rsidP="00FE5D20">
      <w:pPr>
        <w:pStyle w:val="Title"/>
        <w:jc w:val="center"/>
      </w:pPr>
      <w:r>
        <w:t xml:space="preserve">Election 2019 - </w:t>
      </w:r>
      <w:r w:rsidR="0071339A">
        <w:t>Enterprise bargaining</w:t>
      </w:r>
    </w:p>
    <w:p w14:paraId="0A840452" w14:textId="77777777" w:rsidR="00156C1B" w:rsidRDefault="00156C1B" w:rsidP="00FE5D20">
      <w:pPr>
        <w:pStyle w:val="Title"/>
        <w:jc w:val="center"/>
      </w:pPr>
    </w:p>
    <w:p w14:paraId="7C914ED8" w14:textId="4C8C7931" w:rsidR="00855982" w:rsidRDefault="00EC21F5" w:rsidP="003A503D">
      <w:pPr>
        <w:pStyle w:val="Heading1"/>
        <w:spacing w:before="0" w:after="120" w:line="276" w:lineRule="auto"/>
        <w:rPr>
          <w:color w:val="DE5C22"/>
        </w:rPr>
      </w:pPr>
      <w:r w:rsidRPr="00EC21F5">
        <w:rPr>
          <w:color w:val="DE5C22"/>
        </w:rPr>
        <w:t>W</w:t>
      </w:r>
      <w:r w:rsidR="00FE5D20" w:rsidRPr="00EC21F5">
        <w:rPr>
          <w:color w:val="DE5C22"/>
        </w:rPr>
        <w:t>hy is this an issue for women?</w:t>
      </w:r>
    </w:p>
    <w:p w14:paraId="05724A7A" w14:textId="53A27E89" w:rsidR="00896C6E" w:rsidRPr="00A75D00" w:rsidRDefault="00896C6E" w:rsidP="003A503D">
      <w:pPr>
        <w:rPr>
          <w:rFonts w:cstheme="minorHAnsi"/>
          <w:lang w:val="en"/>
        </w:rPr>
      </w:pPr>
      <w:r w:rsidRPr="00A75D00">
        <w:rPr>
          <w:rFonts w:cstheme="minorHAnsi"/>
          <w:lang w:val="en"/>
        </w:rPr>
        <w:t>Historically low wage growth indicates that</w:t>
      </w:r>
      <w:r w:rsidR="00870868">
        <w:rPr>
          <w:rFonts w:cstheme="minorHAnsi"/>
          <w:lang w:val="en"/>
        </w:rPr>
        <w:t xml:space="preserve"> the</w:t>
      </w:r>
      <w:r w:rsidRPr="00A75D00">
        <w:rPr>
          <w:rFonts w:cstheme="minorHAnsi"/>
          <w:lang w:val="en"/>
        </w:rPr>
        <w:t xml:space="preserve"> enterprise bargaining system is not working well for employees. Last year the sense that workers were losing out while companies profited reached a peak when company profits grew by 22% – the second fastest annual growth in the past 30 years, while total wages and salaries grew by just 1.4% – the slowest growth outside of a recession or the GFC.</w:t>
      </w:r>
    </w:p>
    <w:p w14:paraId="6B20F762" w14:textId="1A54EDFA" w:rsidR="00896C6E" w:rsidRPr="00A75D00" w:rsidRDefault="00896C6E" w:rsidP="003A503D">
      <w:pPr>
        <w:rPr>
          <w:rFonts w:cstheme="minorHAnsi"/>
        </w:rPr>
      </w:pPr>
      <w:r w:rsidRPr="00A75D00">
        <w:rPr>
          <w:rFonts w:cstheme="minorHAnsi"/>
          <w:lang w:val="en"/>
        </w:rPr>
        <w:t xml:space="preserve">While bargaining is producing low outcomes for both men and women, women have lower outcomes from bargaining than men </w:t>
      </w:r>
      <w:r w:rsidR="00370B73">
        <w:rPr>
          <w:rFonts w:cstheme="minorHAnsi"/>
          <w:lang w:val="en"/>
        </w:rPr>
        <w:t>(</w:t>
      </w:r>
      <w:hyperlink r:id="rId11" w:history="1">
        <w:r w:rsidR="00370B73" w:rsidRPr="00370B73">
          <w:rPr>
            <w:rStyle w:val="Hyperlink"/>
            <w:rFonts w:cstheme="minorHAnsi"/>
            <w:lang w:val="en"/>
          </w:rPr>
          <w:t>Fair Work Commission 2015</w:t>
        </w:r>
      </w:hyperlink>
      <w:r w:rsidR="00370B73">
        <w:rPr>
          <w:rFonts w:cstheme="minorHAnsi"/>
          <w:lang w:val="en"/>
        </w:rPr>
        <w:t xml:space="preserve">). </w:t>
      </w:r>
    </w:p>
    <w:p w14:paraId="611359DB" w14:textId="7581411B" w:rsidR="00896C6E" w:rsidRPr="00A75D00" w:rsidRDefault="00896C6E" w:rsidP="003A503D">
      <w:pPr>
        <w:rPr>
          <w:rFonts w:cstheme="minorHAnsi"/>
        </w:rPr>
      </w:pPr>
      <w:r w:rsidRPr="00A75D00">
        <w:rPr>
          <w:rFonts w:cstheme="minorHAnsi"/>
        </w:rPr>
        <w:t>The bargaining system is breaking down. Newly-negotiated agreements have fallen dramatically: from around 2,000 EAs in 2010 to only 68 in 2017. There has been a massive acceleration in agreement terminations. In the private sector the number of current agreements has almost halved, and the number of employees covered has dropped by 34 per cent since end-2013 (peak year), a decline of 662,461 employees. Only 12 per cent of Australians employed in the private sector are now covered by current agreements. I</w:t>
      </w:r>
      <w:r w:rsidR="00870868">
        <w:rPr>
          <w:rFonts w:cstheme="minorHAnsi"/>
        </w:rPr>
        <w:t>n</w:t>
      </w:r>
      <w:r w:rsidRPr="00A75D00">
        <w:rPr>
          <w:rFonts w:cstheme="minorHAnsi"/>
        </w:rPr>
        <w:t xml:space="preserve"> the past four years the number of private sector workers covered by enterprise agreements has dropped by 25%</w:t>
      </w:r>
      <w:bookmarkStart w:id="0" w:name="_Hlk536862074"/>
      <w:r w:rsidRPr="00A75D00">
        <w:rPr>
          <w:rFonts w:cstheme="minorHAnsi"/>
        </w:rPr>
        <w:t xml:space="preserve"> </w:t>
      </w:r>
      <w:r w:rsidR="00370B73">
        <w:rPr>
          <w:rFonts w:cstheme="minorHAnsi"/>
        </w:rPr>
        <w:t>(</w:t>
      </w:r>
      <w:hyperlink r:id="rId12" w:history="1">
        <w:r w:rsidR="00370B73" w:rsidRPr="00370B73">
          <w:rPr>
            <w:rStyle w:val="Hyperlink"/>
            <w:rFonts w:cstheme="minorHAnsi"/>
          </w:rPr>
          <w:t>On the Brink</w:t>
        </w:r>
      </w:hyperlink>
      <w:r w:rsidR="00370B73">
        <w:rPr>
          <w:rFonts w:cstheme="minorHAnsi"/>
        </w:rPr>
        <w:t>, The Australia Institute</w:t>
      </w:r>
      <w:bookmarkEnd w:id="0"/>
      <w:r w:rsidR="00370B73">
        <w:rPr>
          <w:rFonts w:cstheme="minorHAnsi"/>
        </w:rPr>
        <w:t>,</w:t>
      </w:r>
      <w:r w:rsidRPr="00A75D00">
        <w:rPr>
          <w:rFonts w:cstheme="minorHAnsi"/>
        </w:rPr>
        <w:t xml:space="preserve"> p. 4)</w:t>
      </w:r>
      <w:r w:rsidR="00462B3F" w:rsidRPr="00A75D00">
        <w:rPr>
          <w:rFonts w:cstheme="minorHAnsi"/>
        </w:rPr>
        <w:t>.</w:t>
      </w:r>
    </w:p>
    <w:p w14:paraId="068AA9DA" w14:textId="77A737A2" w:rsidR="00B40AED" w:rsidRDefault="00896C6E" w:rsidP="00A75D00">
      <w:pPr>
        <w:rPr>
          <w:rFonts w:cstheme="minorHAnsi"/>
          <w:lang w:val="en"/>
        </w:rPr>
      </w:pPr>
      <w:r w:rsidRPr="00A75D00">
        <w:rPr>
          <w:rFonts w:cstheme="minorHAnsi"/>
          <w:lang w:val="en"/>
        </w:rPr>
        <w:t>The governor of the Reserve Bank, Phillip Lowe, last year argued workers needed to be bolder in their wage demands</w:t>
      </w:r>
      <w:r w:rsidR="00B40AED">
        <w:rPr>
          <w:rFonts w:cstheme="minorHAnsi"/>
          <w:lang w:val="en"/>
        </w:rPr>
        <w:t>, that</w:t>
      </w:r>
      <w:r w:rsidRPr="00A75D00">
        <w:rPr>
          <w:rFonts w:cstheme="minorHAnsi"/>
          <w:lang w:val="en"/>
        </w:rPr>
        <w:t xml:space="preserve"> they were more concerned about the security of their job than getting a pay rise </w:t>
      </w:r>
      <w:r w:rsidR="00370B73">
        <w:rPr>
          <w:rFonts w:cstheme="minorHAnsi"/>
          <w:lang w:val="en"/>
        </w:rPr>
        <w:t>(</w:t>
      </w:r>
      <w:hyperlink r:id="rId13" w:history="1">
        <w:r w:rsidR="00370B73" w:rsidRPr="00370B73">
          <w:rPr>
            <w:rStyle w:val="Hyperlink"/>
            <w:rFonts w:cstheme="minorHAnsi"/>
            <w:lang w:val="en"/>
          </w:rPr>
          <w:t>Australian Financial Review</w:t>
        </w:r>
      </w:hyperlink>
      <w:r w:rsidR="00370B73">
        <w:rPr>
          <w:rFonts w:cstheme="minorHAnsi"/>
          <w:lang w:val="en"/>
        </w:rPr>
        <w:t>, 6 September 2017)</w:t>
      </w:r>
      <w:r w:rsidRPr="00A75D00">
        <w:rPr>
          <w:rFonts w:cstheme="minorHAnsi"/>
          <w:lang w:val="en"/>
        </w:rPr>
        <w:t>. There are reasons why employees have such concerns.</w:t>
      </w:r>
    </w:p>
    <w:p w14:paraId="0C4A0936" w14:textId="2D966DDE" w:rsidR="00896C6E" w:rsidRPr="00A75D00" w:rsidRDefault="00896C6E" w:rsidP="00A75D00">
      <w:pPr>
        <w:rPr>
          <w:rFonts w:cstheme="minorHAnsi"/>
          <w:lang w:val="en"/>
        </w:rPr>
      </w:pPr>
      <w:r w:rsidRPr="00A75D00">
        <w:rPr>
          <w:rFonts w:cstheme="minorHAnsi"/>
          <w:lang w:val="en"/>
        </w:rPr>
        <w:t xml:space="preserve">The reasons why insecurity has grown include strategies to casualise, outsource and deunionise the workforce, an imbalance in the legislative framework around the respective bargaining rights of employers and employees, and </w:t>
      </w:r>
      <w:proofErr w:type="gramStart"/>
      <w:r w:rsidRPr="00A75D00">
        <w:rPr>
          <w:rFonts w:cstheme="minorHAnsi"/>
          <w:lang w:val="en"/>
        </w:rPr>
        <w:t>particular decisions</w:t>
      </w:r>
      <w:proofErr w:type="gramEnd"/>
      <w:r w:rsidRPr="00A75D00">
        <w:rPr>
          <w:rFonts w:cstheme="minorHAnsi"/>
          <w:lang w:val="en"/>
        </w:rPr>
        <w:t xml:space="preserve"> of the FWC including one which triggered a rush of unilateral agreement terminations by employers</w:t>
      </w:r>
      <w:r w:rsidR="00170099">
        <w:rPr>
          <w:rFonts w:cstheme="minorHAnsi"/>
          <w:lang w:val="en"/>
        </w:rPr>
        <w:t>.</w:t>
      </w:r>
    </w:p>
    <w:p w14:paraId="0B7B11EE" w14:textId="016AFA32" w:rsidR="00896C6E" w:rsidRDefault="00896C6E" w:rsidP="00204E5B">
      <w:pPr>
        <w:pStyle w:val="ListParagraph"/>
        <w:numPr>
          <w:ilvl w:val="0"/>
          <w:numId w:val="36"/>
        </w:numPr>
        <w:ind w:left="284" w:hanging="284"/>
        <w:rPr>
          <w:rFonts w:cstheme="minorHAnsi"/>
          <w:lang w:val="en"/>
        </w:rPr>
      </w:pPr>
      <w:r w:rsidRPr="00370B73">
        <w:rPr>
          <w:rFonts w:cstheme="minorHAnsi"/>
          <w:lang w:val="en"/>
        </w:rPr>
        <w:t xml:space="preserve">Enterprise agreements should deliver wages and conditions that improve on awards and are paid for by increased productivity. Each agreement was meant to build on the previous agreement.  Unilateral termination of agreements enables employers to simply cancel years of wage growth paid for by productivity improvements.‘ In some cases, threatened EA termination implies dramatic potential wage cuts for workers of as much as 60 per cent, in the event that compensation were to revert to award minimums after termination’ </w:t>
      </w:r>
      <w:r w:rsidR="00370B73" w:rsidRPr="00370B73">
        <w:rPr>
          <w:rFonts w:cstheme="minorHAnsi"/>
        </w:rPr>
        <w:t>(</w:t>
      </w:r>
      <w:hyperlink r:id="rId14" w:history="1">
        <w:r w:rsidR="00370B73" w:rsidRPr="00370B73">
          <w:rPr>
            <w:rStyle w:val="Hyperlink"/>
            <w:rFonts w:cstheme="minorHAnsi"/>
          </w:rPr>
          <w:t>On the Brink</w:t>
        </w:r>
      </w:hyperlink>
      <w:r w:rsidR="00370B73" w:rsidRPr="00370B73">
        <w:rPr>
          <w:rFonts w:cstheme="minorHAnsi"/>
        </w:rPr>
        <w:t xml:space="preserve">, The Australia Institute, p. </w:t>
      </w:r>
      <w:r w:rsidR="00370B73" w:rsidRPr="00370B73">
        <w:rPr>
          <w:rFonts w:cstheme="minorHAnsi"/>
        </w:rPr>
        <w:t>6</w:t>
      </w:r>
      <w:r w:rsidR="00370B73" w:rsidRPr="00370B73">
        <w:rPr>
          <w:rFonts w:cstheme="minorHAnsi"/>
        </w:rPr>
        <w:t>)</w:t>
      </w:r>
      <w:r w:rsidR="00370B73">
        <w:rPr>
          <w:rFonts w:cstheme="minorHAnsi"/>
        </w:rPr>
        <w:t>.</w:t>
      </w:r>
      <w:r w:rsidR="00370B73" w:rsidRPr="00370B73">
        <w:rPr>
          <w:rFonts w:cstheme="minorHAnsi"/>
          <w:lang w:val="en"/>
        </w:rPr>
        <w:t xml:space="preserve"> </w:t>
      </w:r>
    </w:p>
    <w:p w14:paraId="1BE1300E" w14:textId="77777777" w:rsidR="00370B73" w:rsidRPr="00370B73" w:rsidRDefault="00370B73" w:rsidP="00370B73">
      <w:pPr>
        <w:pStyle w:val="ListParagraph"/>
        <w:ind w:left="284"/>
        <w:rPr>
          <w:rFonts w:cstheme="minorHAnsi"/>
          <w:lang w:val="en"/>
        </w:rPr>
      </w:pPr>
    </w:p>
    <w:p w14:paraId="0B6B9F9F" w14:textId="70F164F4" w:rsidR="00896C6E" w:rsidRPr="00896C6E" w:rsidRDefault="00896C6E" w:rsidP="00896C6E">
      <w:pPr>
        <w:pStyle w:val="ListParagraph"/>
        <w:numPr>
          <w:ilvl w:val="0"/>
          <w:numId w:val="36"/>
        </w:numPr>
        <w:ind w:left="284" w:hanging="284"/>
        <w:rPr>
          <w:rFonts w:cstheme="minorHAnsi"/>
        </w:rPr>
      </w:pPr>
      <w:r w:rsidRPr="00896C6E">
        <w:rPr>
          <w:rFonts w:cstheme="minorHAnsi"/>
          <w:lang w:val="en"/>
        </w:rPr>
        <w:lastRenderedPageBreak/>
        <w:t>Thus far, unilateral termination of agreements has particularly affected women. The expiration or termination of several large agreements covering retai</w:t>
      </w:r>
      <w:r w:rsidR="00870868">
        <w:rPr>
          <w:rFonts w:cstheme="minorHAnsi"/>
          <w:lang w:val="en"/>
        </w:rPr>
        <w:t>l</w:t>
      </w:r>
      <w:r w:rsidRPr="00896C6E">
        <w:rPr>
          <w:rFonts w:cstheme="minorHAnsi"/>
          <w:lang w:val="en"/>
        </w:rPr>
        <w:t xml:space="preserve"> and fast food sectors accounted for a large portion (around half) of total private sector agreement coverage decline since end-2013</w:t>
      </w:r>
      <w:r w:rsidR="00370B73">
        <w:rPr>
          <w:rFonts w:cstheme="minorHAnsi"/>
          <w:lang w:val="en"/>
        </w:rPr>
        <w:t xml:space="preserve"> </w:t>
      </w:r>
      <w:r w:rsidRPr="00896C6E">
        <w:rPr>
          <w:rFonts w:cstheme="minorHAnsi"/>
        </w:rPr>
        <w:t xml:space="preserve"> </w:t>
      </w:r>
      <w:r w:rsidR="00370B73" w:rsidRPr="00370B73">
        <w:rPr>
          <w:rFonts w:cstheme="minorHAnsi"/>
        </w:rPr>
        <w:t>(</w:t>
      </w:r>
      <w:hyperlink r:id="rId15" w:history="1">
        <w:r w:rsidR="00370B73" w:rsidRPr="00370B73">
          <w:rPr>
            <w:rStyle w:val="Hyperlink"/>
            <w:rFonts w:cstheme="minorHAnsi"/>
          </w:rPr>
          <w:t>On the Brink</w:t>
        </w:r>
      </w:hyperlink>
      <w:r w:rsidR="00370B73" w:rsidRPr="00370B73">
        <w:rPr>
          <w:rFonts w:cstheme="minorHAnsi"/>
        </w:rPr>
        <w:t xml:space="preserve">, The Australia Institute, p. </w:t>
      </w:r>
      <w:r w:rsidR="00370B73">
        <w:rPr>
          <w:rFonts w:cstheme="minorHAnsi"/>
        </w:rPr>
        <w:t>2</w:t>
      </w:r>
      <w:r w:rsidR="00370B73" w:rsidRPr="00370B73">
        <w:rPr>
          <w:rFonts w:cstheme="minorHAnsi"/>
        </w:rPr>
        <w:t>6)</w:t>
      </w:r>
      <w:r w:rsidR="00370B73">
        <w:rPr>
          <w:rFonts w:cstheme="minorHAnsi"/>
          <w:lang w:val="en"/>
        </w:rPr>
        <w:t>.</w:t>
      </w:r>
    </w:p>
    <w:p w14:paraId="65E8EA40" w14:textId="71C48A61" w:rsidR="00896C6E" w:rsidRPr="00A75D00" w:rsidRDefault="00896C6E" w:rsidP="00A75D00">
      <w:pPr>
        <w:rPr>
          <w:rFonts w:cstheme="minorHAnsi"/>
          <w:lang w:val="en-AU"/>
        </w:rPr>
      </w:pPr>
      <w:r w:rsidRPr="00A75D00">
        <w:rPr>
          <w:rFonts w:cstheme="minorHAnsi"/>
          <w:lang w:val="en"/>
        </w:rPr>
        <w:t xml:space="preserve">Women’s bargaining position is further weakened by their structural position in the workforce--women occupy low paid, casualised, decentralised and contracted ‘caring’ and service delivery employment. Women have also been adversely affected by other decisions of the FWC, this time relating to the low paid bargaining stream and equal remuneration. </w:t>
      </w:r>
    </w:p>
    <w:p w14:paraId="52E5CACD" w14:textId="672899FB" w:rsidR="00AC6D5C" w:rsidRDefault="00896C6E" w:rsidP="00896C6E">
      <w:pPr>
        <w:pStyle w:val="ListParagraph"/>
        <w:numPr>
          <w:ilvl w:val="0"/>
          <w:numId w:val="36"/>
        </w:numPr>
        <w:ind w:left="284" w:hanging="284"/>
        <w:rPr>
          <w:rFonts w:cstheme="minorHAnsi"/>
        </w:rPr>
      </w:pPr>
      <w:r w:rsidRPr="00896C6E">
        <w:rPr>
          <w:rFonts w:cstheme="minorHAnsi"/>
        </w:rPr>
        <w:t xml:space="preserve">The low-paid bargaining stream has never been successfully used to allow multi-employer agreements in industries like child care, community work, security and cleaning, where employees struggle to bargain effectively with their employers. An attempt in the aged care sector stalled when the FWC made a declaration that employees with different employers could bargain together only if they weren't currently covered by an enterprise agreement, which excluded low-paid workers on expired agreements. </w:t>
      </w:r>
    </w:p>
    <w:p w14:paraId="1BA8111F" w14:textId="77777777" w:rsidR="00AC6D5C" w:rsidRDefault="00AC6D5C" w:rsidP="00AC6D5C">
      <w:pPr>
        <w:pStyle w:val="ListParagraph"/>
        <w:ind w:left="284"/>
        <w:rPr>
          <w:rFonts w:cstheme="minorHAnsi"/>
        </w:rPr>
      </w:pPr>
    </w:p>
    <w:p w14:paraId="5753F75E" w14:textId="312191C5" w:rsidR="00896C6E" w:rsidRPr="003A503D" w:rsidRDefault="00AC6D5C" w:rsidP="003A503D">
      <w:pPr>
        <w:pStyle w:val="ListParagraph"/>
        <w:numPr>
          <w:ilvl w:val="0"/>
          <w:numId w:val="36"/>
        </w:numPr>
        <w:ind w:left="284" w:hanging="284"/>
        <w:rPr>
          <w:rFonts w:cstheme="minorHAnsi"/>
        </w:rPr>
      </w:pPr>
      <w:r w:rsidRPr="00896C6E">
        <w:rPr>
          <w:rFonts w:cstheme="minorHAnsi"/>
        </w:rPr>
        <w:t>Equal remuneration provisions have only been successfully used once.</w:t>
      </w:r>
    </w:p>
    <w:p w14:paraId="247CFAEF" w14:textId="77777777" w:rsidR="00156C1B" w:rsidRPr="00156C1B" w:rsidRDefault="00156C1B" w:rsidP="00156C1B">
      <w:pPr>
        <w:pStyle w:val="ListParagraph"/>
        <w:rPr>
          <w:rFonts w:eastAsia="Times New Roman" w:cstheme="minorHAnsi"/>
          <w:lang w:val="en" w:eastAsia="en-AU"/>
        </w:rPr>
      </w:pPr>
    </w:p>
    <w:p w14:paraId="1A7C67BE" w14:textId="77777777" w:rsidR="001C50EE" w:rsidRDefault="001C50EE">
      <w:pPr>
        <w:rPr>
          <w:rFonts w:asciiTheme="majorHAnsi" w:eastAsiaTheme="majorEastAsia" w:hAnsiTheme="majorHAnsi" w:cstheme="majorBidi"/>
          <w:b/>
          <w:bCs/>
          <w:smallCaps/>
          <w:color w:val="DE5C22"/>
          <w:sz w:val="36"/>
          <w:szCs w:val="36"/>
        </w:rPr>
      </w:pPr>
      <w:r>
        <w:rPr>
          <w:rFonts w:asciiTheme="majorHAnsi" w:eastAsiaTheme="majorEastAsia" w:hAnsiTheme="majorHAnsi" w:cstheme="majorBidi"/>
          <w:b/>
          <w:bCs/>
          <w:smallCaps/>
          <w:color w:val="DE5C22"/>
          <w:sz w:val="36"/>
          <w:szCs w:val="36"/>
        </w:rPr>
        <w:br w:type="page"/>
      </w:r>
    </w:p>
    <w:p w14:paraId="0E7C1690" w14:textId="7B522C5A" w:rsidR="00B008D4" w:rsidRPr="00502A64" w:rsidRDefault="00B008D4" w:rsidP="00B008D4">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B008D4" w:rsidRPr="00502A64" w14:paraId="4A5FD944"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497A3A2D" w14:textId="77777777" w:rsidR="00B008D4" w:rsidRPr="00502A64" w:rsidRDefault="00B008D4"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71169C19" w14:textId="77777777" w:rsidR="00B008D4" w:rsidRPr="00502A64" w:rsidRDefault="00B008D4"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0B6F5D6D" w14:textId="77777777" w:rsidR="00B008D4" w:rsidRPr="00502A64" w:rsidRDefault="00B008D4"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5A1EE828" w14:textId="77777777" w:rsidR="00B008D4" w:rsidRPr="00502A64" w:rsidRDefault="00B008D4" w:rsidP="00B008D4">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B008D4" w:rsidRPr="00502A64" w14:paraId="12477658" w14:textId="77777777" w:rsidTr="00555D83">
        <w:tc>
          <w:tcPr>
            <w:tcW w:w="9350" w:type="dxa"/>
            <w:gridSpan w:val="3"/>
            <w:shd w:val="clear" w:color="auto" w:fill="ED7D31"/>
          </w:tcPr>
          <w:p w14:paraId="2B4507C2" w14:textId="77777777" w:rsidR="00B008D4" w:rsidRPr="00502A64" w:rsidRDefault="00B008D4" w:rsidP="00555D83">
            <w:pPr>
              <w:jc w:val="center"/>
              <w:rPr>
                <w:rFonts w:ascii="Calibri" w:eastAsia="Times New Roman" w:hAnsi="Calibri" w:cs="Calibri"/>
                <w:b/>
                <w:sz w:val="24"/>
                <w:szCs w:val="24"/>
                <w:lang w:eastAsia="en-GB"/>
              </w:rPr>
            </w:pPr>
            <w:bookmarkStart w:id="1" w:name="_Hlk5534910"/>
            <w:r w:rsidRPr="00502A64">
              <w:rPr>
                <w:rFonts w:ascii="Calibri" w:eastAsia="Times New Roman" w:hAnsi="Calibri" w:cs="Calibri"/>
                <w:b/>
                <w:color w:val="FFFFFF"/>
                <w:sz w:val="24"/>
                <w:szCs w:val="24"/>
                <w:lang w:eastAsia="en-GB"/>
              </w:rPr>
              <w:t>NFAW RECOMMENDATION</w:t>
            </w:r>
          </w:p>
        </w:tc>
      </w:tr>
      <w:tr w:rsidR="00B008D4" w:rsidRPr="00502A64" w14:paraId="73E3A7E4" w14:textId="77777777" w:rsidTr="00555D83">
        <w:tc>
          <w:tcPr>
            <w:tcW w:w="9350" w:type="dxa"/>
            <w:gridSpan w:val="3"/>
          </w:tcPr>
          <w:p w14:paraId="5A93D1C7" w14:textId="1151A855" w:rsidR="00B008D4" w:rsidRPr="00502A64" w:rsidRDefault="00202F59" w:rsidP="00202F59">
            <w:pPr>
              <w:spacing w:before="100" w:beforeAutospacing="1" w:after="100" w:afterAutospacing="1"/>
              <w:rPr>
                <w:rFonts w:cstheme="minorHAnsi"/>
                <w:sz w:val="20"/>
                <w:szCs w:val="20"/>
              </w:rPr>
            </w:pPr>
            <w:r w:rsidRPr="00202F59">
              <w:rPr>
                <w:rFonts w:eastAsia="Times New Roman" w:cstheme="minorHAnsi"/>
                <w:sz w:val="20"/>
                <w:szCs w:val="20"/>
                <w:lang w:val="en" w:eastAsia="en-AU"/>
              </w:rPr>
              <w:t>Strengthen union access to the workplace and good faith bargaining provisions</w:t>
            </w:r>
            <w:r w:rsidRPr="00202F59">
              <w:rPr>
                <w:sz w:val="20"/>
                <w:szCs w:val="20"/>
              </w:rPr>
              <w:t xml:space="preserve"> to</w:t>
            </w:r>
            <w:r w:rsidRPr="00202F59">
              <w:rPr>
                <w:rFonts w:eastAsia="Times New Roman" w:cstheme="minorHAnsi"/>
                <w:sz w:val="20"/>
                <w:szCs w:val="20"/>
                <w:lang w:val="en" w:eastAsia="en-AU"/>
              </w:rPr>
              <w:t xml:space="preserve"> facilitate collective bargaining, including bargaining for multi-employer and multi-agency public sector agreements</w:t>
            </w:r>
            <w:r>
              <w:rPr>
                <w:rFonts w:eastAsia="Times New Roman" w:cstheme="minorHAnsi"/>
                <w:sz w:val="20"/>
                <w:szCs w:val="20"/>
                <w:lang w:val="en" w:eastAsia="en-AU"/>
              </w:rPr>
              <w:t>.</w:t>
            </w:r>
          </w:p>
        </w:tc>
      </w:tr>
      <w:tr w:rsidR="00B008D4" w:rsidRPr="00502A64" w14:paraId="22235F1B" w14:textId="77777777" w:rsidTr="00555D83">
        <w:trPr>
          <w:trHeight w:val="248"/>
        </w:trPr>
        <w:tc>
          <w:tcPr>
            <w:tcW w:w="9350" w:type="dxa"/>
            <w:gridSpan w:val="3"/>
            <w:shd w:val="clear" w:color="auto" w:fill="FDE5CC" w:themeFill="accent1" w:themeFillTint="33"/>
          </w:tcPr>
          <w:p w14:paraId="7FACC58B" w14:textId="77777777" w:rsidR="00B008D4" w:rsidRPr="00502A64" w:rsidRDefault="00B008D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B008D4" w:rsidRPr="00502A64" w14:paraId="5107A291" w14:textId="77777777" w:rsidTr="00555D83">
        <w:trPr>
          <w:trHeight w:val="248"/>
        </w:trPr>
        <w:tc>
          <w:tcPr>
            <w:tcW w:w="3116" w:type="dxa"/>
            <w:shd w:val="clear" w:color="auto" w:fill="FFFFFF" w:themeFill="background1"/>
          </w:tcPr>
          <w:p w14:paraId="42046128" w14:textId="77777777" w:rsidR="00B008D4" w:rsidRPr="00502A64" w:rsidRDefault="00B008D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3D1006E9" w14:textId="77777777" w:rsidR="00B008D4" w:rsidRPr="00502A64" w:rsidRDefault="00B008D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AE5E825" w14:textId="77777777" w:rsidR="00B008D4" w:rsidRPr="00502A64" w:rsidRDefault="00B008D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B008D4" w:rsidRPr="00502A64" w14:paraId="383721B1" w14:textId="77777777" w:rsidTr="00370B73">
        <w:trPr>
          <w:trHeight w:val="247"/>
        </w:trPr>
        <w:tc>
          <w:tcPr>
            <w:tcW w:w="3116" w:type="dxa"/>
            <w:shd w:val="clear" w:color="auto" w:fill="FFFFFF" w:themeFill="background1"/>
          </w:tcPr>
          <w:p w14:paraId="2CF46753" w14:textId="77777777" w:rsidR="00B008D4" w:rsidRPr="00502A64" w:rsidRDefault="00B008D4" w:rsidP="00555D83">
            <w:pPr>
              <w:rPr>
                <w:rFonts w:ascii="Calibri" w:eastAsia="Times New Roman" w:hAnsi="Calibri" w:cs="Calibri"/>
                <w:b/>
                <w:sz w:val="20"/>
                <w:szCs w:val="20"/>
                <w:lang w:eastAsia="en-GB"/>
              </w:rPr>
            </w:pPr>
          </w:p>
          <w:p w14:paraId="2288E10B" w14:textId="77777777" w:rsidR="00B008D4" w:rsidRPr="00502A64" w:rsidRDefault="00B008D4" w:rsidP="00555D83">
            <w:pPr>
              <w:rPr>
                <w:rFonts w:ascii="Calibri" w:eastAsia="Times New Roman" w:hAnsi="Calibri" w:cs="Calibri"/>
                <w:b/>
                <w:sz w:val="20"/>
                <w:szCs w:val="20"/>
                <w:lang w:eastAsia="en-GB"/>
              </w:rPr>
            </w:pPr>
          </w:p>
        </w:tc>
        <w:tc>
          <w:tcPr>
            <w:tcW w:w="3117" w:type="dxa"/>
            <w:shd w:val="clear" w:color="auto" w:fill="FFFFFF" w:themeFill="background1"/>
          </w:tcPr>
          <w:p w14:paraId="782E1E30" w14:textId="72F21A2D" w:rsidR="00B008D4" w:rsidRPr="00502A64" w:rsidRDefault="00B008D4" w:rsidP="00555D83">
            <w:pPr>
              <w:rPr>
                <w:rFonts w:ascii="Calibri" w:eastAsia="Times New Roman" w:hAnsi="Calibri" w:cs="Calibri"/>
                <w:b/>
                <w:sz w:val="20"/>
                <w:szCs w:val="20"/>
                <w:lang w:eastAsia="en-GB"/>
              </w:rPr>
            </w:pPr>
          </w:p>
        </w:tc>
        <w:tc>
          <w:tcPr>
            <w:tcW w:w="3117" w:type="dxa"/>
            <w:shd w:val="clear" w:color="auto" w:fill="F9B268" w:themeFill="accent1" w:themeFillTint="99"/>
          </w:tcPr>
          <w:p w14:paraId="1C490450" w14:textId="68B0734D" w:rsidR="00B008D4" w:rsidRPr="00502A64" w:rsidRDefault="00CB6247" w:rsidP="00555D83">
            <w:pPr>
              <w:rPr>
                <w:rFonts w:ascii="Calibri" w:eastAsia="Times New Roman" w:hAnsi="Calibri" w:cs="Calibri"/>
                <w:b/>
                <w:sz w:val="20"/>
                <w:szCs w:val="20"/>
                <w:lang w:eastAsia="en-GB"/>
              </w:rPr>
            </w:pPr>
            <w:r w:rsidRPr="00EB0BE4">
              <w:rPr>
                <w:rFonts w:ascii="Calibri" w:eastAsia="Times New Roman" w:hAnsi="Calibri" w:cs="Calibri"/>
                <w:sz w:val="20"/>
                <w:szCs w:val="20"/>
                <w:lang w:eastAsia="en-GB"/>
              </w:rPr>
              <w:t>The Greens stand for</w:t>
            </w:r>
            <w:r>
              <w:rPr>
                <w:rFonts w:ascii="Calibri" w:eastAsia="Times New Roman" w:hAnsi="Calibri" w:cs="Calibri"/>
                <w:sz w:val="20"/>
                <w:szCs w:val="20"/>
                <w:lang w:eastAsia="en-GB"/>
              </w:rPr>
              <w:t>: t</w:t>
            </w:r>
            <w:r w:rsidRPr="00CB6247">
              <w:rPr>
                <w:rFonts w:ascii="Calibri" w:eastAsia="Times New Roman" w:hAnsi="Calibri" w:cs="Calibri"/>
                <w:sz w:val="20"/>
                <w:szCs w:val="20"/>
                <w:lang w:eastAsia="en-GB"/>
              </w:rPr>
              <w:t>he right to engage in industrial action; restoring the right to strike; bargaining at whatever level workers consider appropriate, not just within an enterprise</w:t>
            </w:r>
            <w:r w:rsidRPr="00CB6247">
              <w:rPr>
                <w:rFonts w:ascii="Calibri" w:eastAsia="Times New Roman" w:hAnsi="Calibri" w:cs="Calibri"/>
                <w:b/>
                <w:sz w:val="20"/>
                <w:szCs w:val="20"/>
                <w:lang w:eastAsia="en-GB"/>
              </w:rPr>
              <w:t>.</w:t>
            </w:r>
          </w:p>
        </w:tc>
      </w:tr>
      <w:bookmarkEnd w:id="1"/>
      <w:tr w:rsidR="00B008D4" w:rsidRPr="00502A64" w14:paraId="459C6761" w14:textId="77777777" w:rsidTr="00555D83">
        <w:tc>
          <w:tcPr>
            <w:tcW w:w="9350" w:type="dxa"/>
            <w:gridSpan w:val="3"/>
            <w:shd w:val="clear" w:color="auto" w:fill="ED7D31"/>
          </w:tcPr>
          <w:p w14:paraId="361458B8" w14:textId="77777777" w:rsidR="00B008D4" w:rsidRPr="00502A64" w:rsidRDefault="00B008D4"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B008D4" w:rsidRPr="00502A64" w14:paraId="7F6CB156" w14:textId="77777777" w:rsidTr="00555D83">
        <w:tc>
          <w:tcPr>
            <w:tcW w:w="9350" w:type="dxa"/>
            <w:gridSpan w:val="3"/>
          </w:tcPr>
          <w:p w14:paraId="1C36DA98" w14:textId="2A897E3E" w:rsidR="00B008D4" w:rsidRPr="00502A64" w:rsidRDefault="009D5488" w:rsidP="009D5488">
            <w:pPr>
              <w:spacing w:before="100" w:beforeAutospacing="1" w:after="100" w:afterAutospacing="1"/>
              <w:rPr>
                <w:rFonts w:ascii="Calibri" w:eastAsia="Times New Roman" w:hAnsi="Calibri" w:cs="Calibri"/>
                <w:b/>
                <w:sz w:val="20"/>
                <w:szCs w:val="20"/>
                <w:lang w:eastAsia="en-GB"/>
              </w:rPr>
            </w:pPr>
            <w:r>
              <w:rPr>
                <w:rFonts w:eastAsia="Times New Roman" w:cstheme="minorHAnsi"/>
                <w:sz w:val="20"/>
                <w:szCs w:val="20"/>
                <w:lang w:val="en" w:eastAsia="en-AU"/>
              </w:rPr>
              <w:t>E</w:t>
            </w:r>
            <w:r w:rsidRPr="009D5488">
              <w:rPr>
                <w:rFonts w:eastAsia="Times New Roman" w:cstheme="minorHAnsi"/>
                <w:sz w:val="20"/>
                <w:szCs w:val="20"/>
                <w:lang w:val="en" w:eastAsia="en-AU"/>
              </w:rPr>
              <w:t>nsure that agreements cannot be terminated by employers without the consent of their employees in order to lower the bargaining threshold from agreement rates to award rates</w:t>
            </w:r>
            <w:r>
              <w:rPr>
                <w:rFonts w:eastAsia="Times New Roman" w:cstheme="minorHAnsi"/>
                <w:sz w:val="20"/>
                <w:szCs w:val="20"/>
                <w:lang w:val="en" w:eastAsia="en-AU"/>
              </w:rPr>
              <w:t>.</w:t>
            </w:r>
          </w:p>
        </w:tc>
      </w:tr>
      <w:tr w:rsidR="00B008D4" w:rsidRPr="00502A64" w14:paraId="258333DB" w14:textId="77777777" w:rsidTr="00555D83">
        <w:trPr>
          <w:trHeight w:val="248"/>
        </w:trPr>
        <w:tc>
          <w:tcPr>
            <w:tcW w:w="9350" w:type="dxa"/>
            <w:gridSpan w:val="3"/>
            <w:shd w:val="clear" w:color="auto" w:fill="FDE5CC" w:themeFill="accent1" w:themeFillTint="33"/>
          </w:tcPr>
          <w:p w14:paraId="07DC3252" w14:textId="77777777" w:rsidR="00B008D4" w:rsidRPr="00502A64" w:rsidRDefault="00B008D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B008D4" w:rsidRPr="00502A64" w14:paraId="49410F34" w14:textId="77777777" w:rsidTr="00555D83">
        <w:trPr>
          <w:trHeight w:val="248"/>
        </w:trPr>
        <w:tc>
          <w:tcPr>
            <w:tcW w:w="3116" w:type="dxa"/>
            <w:shd w:val="clear" w:color="auto" w:fill="FFFFFF" w:themeFill="background1"/>
          </w:tcPr>
          <w:p w14:paraId="356917A6" w14:textId="77777777" w:rsidR="00B008D4" w:rsidRPr="00502A64" w:rsidRDefault="00B008D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1BBD12E6" w14:textId="77777777" w:rsidR="00B008D4" w:rsidRPr="00502A64" w:rsidRDefault="00B008D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F8AC1FE" w14:textId="77777777" w:rsidR="00B008D4" w:rsidRPr="00502A64" w:rsidRDefault="00B008D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B008D4" w:rsidRPr="00502A64" w14:paraId="63C65AC2" w14:textId="77777777" w:rsidTr="00370B73">
        <w:trPr>
          <w:trHeight w:val="247"/>
        </w:trPr>
        <w:tc>
          <w:tcPr>
            <w:tcW w:w="3116" w:type="dxa"/>
            <w:shd w:val="clear" w:color="auto" w:fill="F9B268" w:themeFill="accent1" w:themeFillTint="99"/>
          </w:tcPr>
          <w:p w14:paraId="2F19DD11" w14:textId="5DF84260" w:rsidR="00B008D4" w:rsidRPr="00502A64" w:rsidRDefault="00264DCF" w:rsidP="00264DCF">
            <w:pPr>
              <w:rPr>
                <w:rFonts w:ascii="Calibri" w:eastAsia="Times New Roman" w:hAnsi="Calibri" w:cs="Calibri"/>
                <w:b/>
                <w:sz w:val="20"/>
                <w:szCs w:val="20"/>
                <w:lang w:eastAsia="en-GB"/>
              </w:rPr>
            </w:pPr>
            <w:r w:rsidRPr="00264DCF">
              <w:rPr>
                <w:rFonts w:ascii="Calibri" w:eastAsia="Times New Roman" w:hAnsi="Calibri" w:cs="Calibri"/>
                <w:sz w:val="20"/>
                <w:szCs w:val="20"/>
                <w:lang w:eastAsia="en-GB"/>
              </w:rPr>
              <w:t>Labor will: improve wages by improving the balance in bargaining, including by preventing companies from terminating enterprise agreements, and preventing companies from entering into sham enterprise agreements.</w:t>
            </w:r>
          </w:p>
        </w:tc>
        <w:tc>
          <w:tcPr>
            <w:tcW w:w="3117" w:type="dxa"/>
            <w:shd w:val="clear" w:color="auto" w:fill="FFFFFF" w:themeFill="background1"/>
          </w:tcPr>
          <w:p w14:paraId="0E42A43A" w14:textId="77777777" w:rsidR="00B008D4" w:rsidRPr="00502A64" w:rsidRDefault="00B008D4" w:rsidP="00555D83">
            <w:pPr>
              <w:rPr>
                <w:rFonts w:ascii="Calibri" w:eastAsia="Times New Roman" w:hAnsi="Calibri" w:cs="Calibri"/>
                <w:b/>
                <w:sz w:val="20"/>
                <w:szCs w:val="20"/>
                <w:lang w:eastAsia="en-GB"/>
              </w:rPr>
            </w:pPr>
          </w:p>
        </w:tc>
        <w:tc>
          <w:tcPr>
            <w:tcW w:w="3117" w:type="dxa"/>
            <w:shd w:val="clear" w:color="auto" w:fill="F9B268" w:themeFill="accent1" w:themeFillTint="99"/>
          </w:tcPr>
          <w:p w14:paraId="2DA310C0" w14:textId="106CE9CE" w:rsidR="00B008D4" w:rsidRPr="00502A64" w:rsidRDefault="00170099" w:rsidP="00EB0BE4">
            <w:pPr>
              <w:rPr>
                <w:rFonts w:ascii="Calibri" w:eastAsia="Times New Roman" w:hAnsi="Calibri" w:cs="Calibri"/>
                <w:b/>
                <w:sz w:val="20"/>
                <w:szCs w:val="20"/>
                <w:lang w:eastAsia="en-GB"/>
              </w:rPr>
            </w:pPr>
            <w:r w:rsidRPr="00EB0BE4">
              <w:rPr>
                <w:rFonts w:ascii="Calibri" w:eastAsia="Times New Roman" w:hAnsi="Calibri" w:cs="Calibri"/>
                <w:sz w:val="20"/>
                <w:szCs w:val="20"/>
                <w:lang w:eastAsia="en-GB"/>
              </w:rPr>
              <w:t>The Greens stand for: ending employers' ability to terminate agreements</w:t>
            </w:r>
            <w:r w:rsidR="00EB0BE4" w:rsidRPr="00EB0BE4">
              <w:rPr>
                <w:rFonts w:ascii="Calibri" w:eastAsia="Times New Roman" w:hAnsi="Calibri" w:cs="Calibri"/>
                <w:sz w:val="20"/>
                <w:szCs w:val="20"/>
                <w:lang w:eastAsia="en-GB"/>
              </w:rPr>
              <w:t>.</w:t>
            </w:r>
          </w:p>
        </w:tc>
      </w:tr>
      <w:tr w:rsidR="00B008D4" w:rsidRPr="00502A64" w14:paraId="2136A7D5" w14:textId="77777777" w:rsidTr="00555D83">
        <w:tc>
          <w:tcPr>
            <w:tcW w:w="9350" w:type="dxa"/>
            <w:gridSpan w:val="3"/>
            <w:shd w:val="clear" w:color="auto" w:fill="ED7D31"/>
          </w:tcPr>
          <w:p w14:paraId="4B94A97B" w14:textId="77777777" w:rsidR="00B008D4" w:rsidRPr="00502A64" w:rsidRDefault="00B008D4"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B008D4" w:rsidRPr="00502A64" w14:paraId="1FF14966" w14:textId="77777777" w:rsidTr="00555D83">
        <w:tc>
          <w:tcPr>
            <w:tcW w:w="9350" w:type="dxa"/>
            <w:gridSpan w:val="3"/>
          </w:tcPr>
          <w:p w14:paraId="48D1492E" w14:textId="54C69660" w:rsidR="00B008D4" w:rsidRPr="009D5488" w:rsidRDefault="009D5488" w:rsidP="00555D83">
            <w:pPr>
              <w:rPr>
                <w:rFonts w:ascii="Calibri" w:eastAsia="Times New Roman" w:hAnsi="Calibri" w:cs="Calibri"/>
                <w:sz w:val="20"/>
                <w:szCs w:val="20"/>
                <w:lang w:eastAsia="en-GB"/>
              </w:rPr>
            </w:pPr>
            <w:r w:rsidRPr="009D5488">
              <w:rPr>
                <w:rFonts w:ascii="Calibri" w:eastAsia="Times New Roman" w:hAnsi="Calibri" w:cs="Calibri"/>
                <w:sz w:val="20"/>
                <w:szCs w:val="20"/>
                <w:lang w:val="en" w:eastAsia="en-GB"/>
              </w:rPr>
              <w:t>Clarify ‘that the low-paid stream is not confined to employees who have never been covered by a collective agreement or instrument before’ including those on expired agreements</w:t>
            </w:r>
            <w:r w:rsidR="00605CA8">
              <w:rPr>
                <w:rFonts w:ascii="Calibri" w:eastAsia="Times New Roman" w:hAnsi="Calibri" w:cs="Calibri"/>
                <w:sz w:val="20"/>
                <w:szCs w:val="20"/>
                <w:lang w:val="en" w:eastAsia="en-GB"/>
              </w:rPr>
              <w:t xml:space="preserve">. </w:t>
            </w:r>
          </w:p>
        </w:tc>
      </w:tr>
      <w:tr w:rsidR="00B008D4" w:rsidRPr="00502A64" w14:paraId="49C8F30D" w14:textId="77777777" w:rsidTr="00555D83">
        <w:trPr>
          <w:trHeight w:val="248"/>
        </w:trPr>
        <w:tc>
          <w:tcPr>
            <w:tcW w:w="9350" w:type="dxa"/>
            <w:gridSpan w:val="3"/>
            <w:shd w:val="clear" w:color="auto" w:fill="FDE5CC" w:themeFill="accent1" w:themeFillTint="33"/>
          </w:tcPr>
          <w:p w14:paraId="06997FD0" w14:textId="77777777" w:rsidR="00B008D4" w:rsidRPr="00502A64" w:rsidRDefault="00B008D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B008D4" w:rsidRPr="00502A64" w14:paraId="45D8BD10" w14:textId="77777777" w:rsidTr="00555D83">
        <w:trPr>
          <w:trHeight w:val="248"/>
        </w:trPr>
        <w:tc>
          <w:tcPr>
            <w:tcW w:w="3116" w:type="dxa"/>
            <w:shd w:val="clear" w:color="auto" w:fill="FFFFFF" w:themeFill="background1"/>
          </w:tcPr>
          <w:p w14:paraId="3D21252C" w14:textId="77777777" w:rsidR="00B008D4" w:rsidRPr="00502A64" w:rsidRDefault="00B008D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3B9BCE98" w14:textId="77777777" w:rsidR="00B008D4" w:rsidRPr="00502A64" w:rsidRDefault="00B008D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3516D3E" w14:textId="77777777" w:rsidR="00B008D4" w:rsidRPr="00502A64" w:rsidRDefault="00B008D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B008D4" w:rsidRPr="00502A64" w14:paraId="62B0847A" w14:textId="77777777" w:rsidTr="00370B73">
        <w:trPr>
          <w:trHeight w:val="247"/>
        </w:trPr>
        <w:tc>
          <w:tcPr>
            <w:tcW w:w="3116" w:type="dxa"/>
            <w:shd w:val="clear" w:color="auto" w:fill="FDE5CC" w:themeFill="accent1" w:themeFillTint="33"/>
          </w:tcPr>
          <w:p w14:paraId="3CDB2E2D" w14:textId="77777777" w:rsidR="00264DCF" w:rsidRPr="00264DCF" w:rsidRDefault="00264DCF" w:rsidP="00264DCF">
            <w:pPr>
              <w:rPr>
                <w:rFonts w:ascii="Calibri" w:eastAsia="Times New Roman" w:hAnsi="Calibri" w:cs="Calibri"/>
                <w:sz w:val="20"/>
                <w:szCs w:val="20"/>
                <w:lang w:eastAsia="en-GB"/>
              </w:rPr>
            </w:pPr>
            <w:r w:rsidRPr="00264DCF">
              <w:rPr>
                <w:rFonts w:ascii="Calibri" w:eastAsia="Times New Roman" w:hAnsi="Calibri" w:cs="Calibri"/>
                <w:sz w:val="20"/>
                <w:szCs w:val="20"/>
                <w:lang w:eastAsia="en-GB"/>
              </w:rPr>
              <w:t>Strengthen the ability of the Fair Work Commission to order</w:t>
            </w:r>
          </w:p>
          <w:p w14:paraId="3F873DB4" w14:textId="77777777" w:rsidR="00264DCF" w:rsidRPr="00264DCF" w:rsidRDefault="00264DCF" w:rsidP="00264DCF">
            <w:pPr>
              <w:rPr>
                <w:rFonts w:ascii="Calibri" w:eastAsia="Times New Roman" w:hAnsi="Calibri" w:cs="Calibri"/>
                <w:sz w:val="20"/>
                <w:szCs w:val="20"/>
                <w:lang w:eastAsia="en-GB"/>
              </w:rPr>
            </w:pPr>
            <w:r w:rsidRPr="00264DCF">
              <w:rPr>
                <w:rFonts w:ascii="Calibri" w:eastAsia="Times New Roman" w:hAnsi="Calibri" w:cs="Calibri"/>
                <w:sz w:val="20"/>
                <w:szCs w:val="20"/>
                <w:lang w:eastAsia="en-GB"/>
              </w:rPr>
              <w:t>pay increases for workers in undervalued female-dominated</w:t>
            </w:r>
          </w:p>
          <w:p w14:paraId="4256F590" w14:textId="77777777" w:rsidR="00264DCF" w:rsidRPr="00264DCF" w:rsidRDefault="00264DCF" w:rsidP="00264DCF">
            <w:pPr>
              <w:rPr>
                <w:rFonts w:ascii="Calibri" w:eastAsia="Times New Roman" w:hAnsi="Calibri" w:cs="Calibri"/>
                <w:sz w:val="20"/>
                <w:szCs w:val="20"/>
                <w:lang w:eastAsia="en-GB"/>
              </w:rPr>
            </w:pPr>
            <w:r w:rsidRPr="00264DCF">
              <w:rPr>
                <w:rFonts w:ascii="Calibri" w:eastAsia="Times New Roman" w:hAnsi="Calibri" w:cs="Calibri"/>
                <w:sz w:val="20"/>
                <w:szCs w:val="20"/>
                <w:lang w:eastAsia="en-GB"/>
              </w:rPr>
              <w:t>industries su</w:t>
            </w:r>
            <w:bookmarkStart w:id="2" w:name="_GoBack"/>
            <w:bookmarkEnd w:id="2"/>
            <w:r w:rsidRPr="00264DCF">
              <w:rPr>
                <w:rFonts w:ascii="Calibri" w:eastAsia="Times New Roman" w:hAnsi="Calibri" w:cs="Calibri"/>
                <w:sz w:val="20"/>
                <w:szCs w:val="20"/>
                <w:lang w:eastAsia="en-GB"/>
              </w:rPr>
              <w:t>ch as early childhood, aged care, and disability</w:t>
            </w:r>
          </w:p>
          <w:p w14:paraId="11183C55" w14:textId="238D149A" w:rsidR="00B008D4" w:rsidRPr="00502A64" w:rsidRDefault="00264DCF" w:rsidP="000E1633">
            <w:pPr>
              <w:rPr>
                <w:rFonts w:ascii="Calibri" w:eastAsia="Times New Roman" w:hAnsi="Calibri" w:cs="Calibri"/>
                <w:b/>
                <w:sz w:val="20"/>
                <w:szCs w:val="20"/>
                <w:lang w:eastAsia="en-GB"/>
              </w:rPr>
            </w:pPr>
            <w:r w:rsidRPr="00264DCF">
              <w:rPr>
                <w:rFonts w:ascii="Calibri" w:eastAsia="Times New Roman" w:hAnsi="Calibri" w:cs="Calibri"/>
                <w:sz w:val="20"/>
                <w:szCs w:val="20"/>
                <w:lang w:eastAsia="en-GB"/>
              </w:rPr>
              <w:t>services.</w:t>
            </w:r>
          </w:p>
        </w:tc>
        <w:tc>
          <w:tcPr>
            <w:tcW w:w="3117" w:type="dxa"/>
            <w:shd w:val="clear" w:color="auto" w:fill="FFFFFF" w:themeFill="background1"/>
          </w:tcPr>
          <w:p w14:paraId="69CF559A" w14:textId="77777777" w:rsidR="00B008D4" w:rsidRPr="00502A64" w:rsidRDefault="00B008D4" w:rsidP="00555D83">
            <w:pPr>
              <w:rPr>
                <w:rFonts w:ascii="Calibri" w:eastAsia="Times New Roman" w:hAnsi="Calibri" w:cs="Calibri"/>
                <w:b/>
                <w:sz w:val="20"/>
                <w:szCs w:val="20"/>
                <w:lang w:eastAsia="en-GB"/>
              </w:rPr>
            </w:pPr>
          </w:p>
        </w:tc>
        <w:tc>
          <w:tcPr>
            <w:tcW w:w="3117" w:type="dxa"/>
            <w:shd w:val="clear" w:color="auto" w:fill="FFFFFF" w:themeFill="background1"/>
          </w:tcPr>
          <w:p w14:paraId="5213F526" w14:textId="77777777" w:rsidR="00B008D4" w:rsidRPr="00502A64" w:rsidRDefault="00B008D4" w:rsidP="00555D83">
            <w:pPr>
              <w:rPr>
                <w:rFonts w:ascii="Calibri" w:eastAsia="Times New Roman" w:hAnsi="Calibri" w:cs="Calibri"/>
                <w:b/>
                <w:sz w:val="20"/>
                <w:szCs w:val="20"/>
                <w:lang w:eastAsia="en-GB"/>
              </w:rPr>
            </w:pPr>
          </w:p>
        </w:tc>
      </w:tr>
    </w:tbl>
    <w:p w14:paraId="53143FA2" w14:textId="77777777" w:rsidR="00B008D4" w:rsidRDefault="00B008D4" w:rsidP="00B008D4"/>
    <w:p w14:paraId="4AD9F993" w14:textId="31A49EFE" w:rsidR="001C50EE" w:rsidRDefault="001C50EE">
      <w:r>
        <w:br w:type="page"/>
      </w:r>
    </w:p>
    <w:p w14:paraId="13744E3E" w14:textId="77777777" w:rsidR="00B008D4" w:rsidRDefault="00B008D4" w:rsidP="00B008D4"/>
    <w:p w14:paraId="2748606F" w14:textId="77777777" w:rsidR="00B008D4" w:rsidRDefault="00B008D4" w:rsidP="00B008D4"/>
    <w:tbl>
      <w:tblPr>
        <w:tblStyle w:val="ListTable4-Accent21"/>
        <w:tblW w:w="0" w:type="auto"/>
        <w:tblLook w:val="04A0" w:firstRow="1" w:lastRow="0" w:firstColumn="1" w:lastColumn="0" w:noHBand="0" w:noVBand="1"/>
      </w:tblPr>
      <w:tblGrid>
        <w:gridCol w:w="3102"/>
        <w:gridCol w:w="1183"/>
        <w:gridCol w:w="5065"/>
      </w:tblGrid>
      <w:tr w:rsidR="00B008D4" w:rsidRPr="00502A64" w14:paraId="38F64AAF"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1EA8489C" w14:textId="77777777" w:rsidR="00B008D4" w:rsidRPr="00502A64" w:rsidRDefault="00B008D4"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B008D4" w:rsidRPr="00502A64" w14:paraId="6131E94E"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5B9BF663" w14:textId="77777777" w:rsidR="00B008D4" w:rsidRPr="00502A64" w:rsidRDefault="00B008D4"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09481381" w14:textId="77777777" w:rsidR="00B008D4" w:rsidRPr="00502A64" w:rsidRDefault="00B008D4"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2D20DFAE" w14:textId="77777777" w:rsidR="00B008D4" w:rsidRPr="00502A64" w:rsidRDefault="00B008D4"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B008D4" w:rsidRPr="00502A64" w14:paraId="7D42CD19"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52D04008" w14:textId="77777777" w:rsidR="00B008D4" w:rsidRPr="00BC5760" w:rsidRDefault="00B008D4" w:rsidP="00555D83">
            <w:pPr>
              <w:rPr>
                <w:rFonts w:cs="Poppins"/>
                <w:color w:val="000000"/>
                <w:sz w:val="20"/>
                <w:szCs w:val="20"/>
              </w:rPr>
            </w:pPr>
          </w:p>
        </w:tc>
        <w:sdt>
          <w:sdtPr>
            <w:rPr>
              <w:rFonts w:ascii="Calibri" w:hAnsi="Calibri" w:cs="Poppins"/>
              <w:color w:val="000000"/>
              <w:sz w:val="20"/>
              <w:szCs w:val="20"/>
            </w:rPr>
            <w:alias w:val="Party"/>
            <w:tag w:val="Party"/>
            <w:id w:val="-780572695"/>
            <w:placeholder>
              <w:docPart w:val="B04700A3115542C4BE066CD70372FB59"/>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1A3565EC" w14:textId="77777777" w:rsidR="00B008D4" w:rsidRDefault="00B008D4"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0D93E19C" w14:textId="77777777" w:rsidR="00B008D4" w:rsidRPr="00BC5760" w:rsidRDefault="00B008D4"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B008D4" w:rsidRPr="00502A64" w14:paraId="27D9EACC"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06C33777" w14:textId="77777777" w:rsidR="00B008D4" w:rsidRPr="00BC5760" w:rsidRDefault="00B008D4" w:rsidP="00555D83">
            <w:pPr>
              <w:rPr>
                <w:rFonts w:cs="Poppins"/>
                <w:color w:val="000000"/>
                <w:sz w:val="20"/>
                <w:szCs w:val="20"/>
              </w:rPr>
            </w:pPr>
          </w:p>
        </w:tc>
        <w:sdt>
          <w:sdtPr>
            <w:rPr>
              <w:rFonts w:ascii="Calibri" w:hAnsi="Calibri" w:cs="Poppins"/>
              <w:color w:val="000000"/>
              <w:sz w:val="20"/>
              <w:szCs w:val="20"/>
            </w:rPr>
            <w:alias w:val="Party"/>
            <w:tag w:val="Party"/>
            <w:id w:val="-1529398651"/>
            <w:placeholder>
              <w:docPart w:val="4C356AE241E3443ABCA6757F9A5DEDD4"/>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0A337B9E" w14:textId="77777777" w:rsidR="00B008D4" w:rsidRDefault="00B008D4"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741A1664" w14:textId="77777777" w:rsidR="00B008D4" w:rsidRPr="00BC5760" w:rsidRDefault="00B008D4"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B008D4" w:rsidRPr="00502A64" w14:paraId="45723471"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6E11604F" w14:textId="77777777" w:rsidR="00B008D4" w:rsidRPr="00BC5760" w:rsidRDefault="00B008D4"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1F511AE5466247C38C981D741B2F761D"/>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2BA8AC7D" w14:textId="77777777" w:rsidR="00B008D4" w:rsidRDefault="00B008D4"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00EDFF92" w14:textId="77777777" w:rsidR="00B008D4" w:rsidRPr="00BC5760" w:rsidRDefault="00B008D4"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4952B9EE" w14:textId="77777777" w:rsidR="00B008D4" w:rsidRPr="00502A64" w:rsidRDefault="00B008D4" w:rsidP="00B008D4">
      <w:pPr>
        <w:rPr>
          <w:rFonts w:ascii="Calibri" w:eastAsia="Times New Roman" w:hAnsi="Calibri" w:cs="Times New Roman"/>
        </w:rPr>
      </w:pPr>
    </w:p>
    <w:p w14:paraId="5BECBF8A" w14:textId="5307E9B9" w:rsidR="00156C1B" w:rsidRPr="001C50EE" w:rsidRDefault="001C50EE" w:rsidP="00156C1B">
      <w:pPr>
        <w:spacing w:before="100" w:beforeAutospacing="1" w:after="100" w:afterAutospacing="1" w:line="240" w:lineRule="auto"/>
        <w:rPr>
          <w:rFonts w:eastAsia="Times New Roman" w:cstheme="minorHAnsi"/>
          <w:sz w:val="20"/>
          <w:szCs w:val="20"/>
          <w:lang w:val="en" w:eastAsia="en-AU"/>
        </w:rPr>
      </w:pPr>
      <w:proofErr w:type="spellStart"/>
      <w:r w:rsidRPr="001C50EE">
        <w:rPr>
          <w:rFonts w:eastAsia="Times New Roman" w:cstheme="minorHAnsi"/>
          <w:sz w:val="20"/>
          <w:szCs w:val="20"/>
          <w:lang w:val="en" w:eastAsia="en-AU"/>
        </w:rPr>
        <w:t>Authorised</w:t>
      </w:r>
      <w:proofErr w:type="spellEnd"/>
      <w:r w:rsidRPr="001C50EE">
        <w:rPr>
          <w:rFonts w:eastAsia="Times New Roman" w:cstheme="minorHAnsi"/>
          <w:sz w:val="20"/>
          <w:szCs w:val="20"/>
          <w:lang w:val="en" w:eastAsia="en-AU"/>
        </w:rPr>
        <w:t xml:space="preserve"> by Kate Gunn, Sydney.</w:t>
      </w:r>
    </w:p>
    <w:sectPr w:rsidR="00156C1B" w:rsidRPr="001C50EE" w:rsidSect="00855982">
      <w:footerReference w:type="defaul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4902A" w14:textId="77777777" w:rsidR="00832F84" w:rsidRDefault="00832F84" w:rsidP="00855982">
      <w:pPr>
        <w:spacing w:after="0" w:line="240" w:lineRule="auto"/>
      </w:pPr>
      <w:r>
        <w:separator/>
      </w:r>
    </w:p>
  </w:endnote>
  <w:endnote w:type="continuationSeparator" w:id="0">
    <w:p w14:paraId="17A55D65" w14:textId="77777777" w:rsidR="00832F84" w:rsidRDefault="00832F84"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1316C" w14:textId="77777777" w:rsidR="00832F84" w:rsidRDefault="00832F84" w:rsidP="00855982">
      <w:pPr>
        <w:spacing w:after="0" w:line="240" w:lineRule="auto"/>
      </w:pPr>
      <w:r>
        <w:separator/>
      </w:r>
    </w:p>
  </w:footnote>
  <w:footnote w:type="continuationSeparator" w:id="0">
    <w:p w14:paraId="2AC4B100" w14:textId="77777777" w:rsidR="00832F84" w:rsidRDefault="00832F84"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C1CB0"/>
    <w:multiLevelType w:val="hybridMultilevel"/>
    <w:tmpl w:val="75582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C636C83"/>
    <w:multiLevelType w:val="hybridMultilevel"/>
    <w:tmpl w:val="41C44D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C4109B"/>
    <w:multiLevelType w:val="hybridMultilevel"/>
    <w:tmpl w:val="5518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DB125B"/>
    <w:multiLevelType w:val="hybridMultilevel"/>
    <w:tmpl w:val="B8EC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637D7B"/>
    <w:multiLevelType w:val="hybridMultilevel"/>
    <w:tmpl w:val="5EAEC9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2914969"/>
    <w:multiLevelType w:val="hybridMultilevel"/>
    <w:tmpl w:val="F376B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7A3462B"/>
    <w:multiLevelType w:val="hybridMultilevel"/>
    <w:tmpl w:val="24E4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16E63E1"/>
    <w:multiLevelType w:val="hybridMultilevel"/>
    <w:tmpl w:val="2A14B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4B321F"/>
    <w:multiLevelType w:val="hybridMultilevel"/>
    <w:tmpl w:val="3AF41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B02870"/>
    <w:multiLevelType w:val="hybridMultilevel"/>
    <w:tmpl w:val="2A0C8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1"/>
  </w:num>
  <w:num w:numId="14">
    <w:abstractNumId w:val="26"/>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8"/>
  </w:num>
  <w:num w:numId="29">
    <w:abstractNumId w:val="23"/>
  </w:num>
  <w:num w:numId="30">
    <w:abstractNumId w:val="24"/>
  </w:num>
  <w:num w:numId="31">
    <w:abstractNumId w:val="22"/>
  </w:num>
  <w:num w:numId="32">
    <w:abstractNumId w:val="25"/>
  </w:num>
  <w:num w:numId="33">
    <w:abstractNumId w:val="19"/>
  </w:num>
  <w:num w:numId="34">
    <w:abstractNumId w:val="16"/>
  </w:num>
  <w:num w:numId="35">
    <w:abstractNumId w:val="10"/>
  </w:num>
  <w:num w:numId="36">
    <w:abstractNumId w:val="29"/>
  </w:num>
  <w:num w:numId="37">
    <w:abstractNumId w:val="28"/>
  </w:num>
  <w:num w:numId="38">
    <w:abstractNumId w:val="27"/>
  </w:num>
  <w:num w:numId="39">
    <w:abstractNumId w:val="14"/>
  </w:num>
  <w:num w:numId="40">
    <w:abstractNumId w:val="2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20"/>
    <w:rsid w:val="00070C7C"/>
    <w:rsid w:val="000E1633"/>
    <w:rsid w:val="00107CF5"/>
    <w:rsid w:val="001242DB"/>
    <w:rsid w:val="0014457A"/>
    <w:rsid w:val="00156C1B"/>
    <w:rsid w:val="00163026"/>
    <w:rsid w:val="0016484A"/>
    <w:rsid w:val="00170099"/>
    <w:rsid w:val="001B055F"/>
    <w:rsid w:val="001C50EE"/>
    <w:rsid w:val="001D4362"/>
    <w:rsid w:val="001D5618"/>
    <w:rsid w:val="00202F59"/>
    <w:rsid w:val="00264DCF"/>
    <w:rsid w:val="002D1DFD"/>
    <w:rsid w:val="00305C9E"/>
    <w:rsid w:val="003661F5"/>
    <w:rsid w:val="00370B73"/>
    <w:rsid w:val="00370F9B"/>
    <w:rsid w:val="003844CF"/>
    <w:rsid w:val="003A503D"/>
    <w:rsid w:val="003C09E8"/>
    <w:rsid w:val="003D3E2B"/>
    <w:rsid w:val="003E4114"/>
    <w:rsid w:val="003F6A08"/>
    <w:rsid w:val="00404ABB"/>
    <w:rsid w:val="004312B3"/>
    <w:rsid w:val="00444743"/>
    <w:rsid w:val="00462B3F"/>
    <w:rsid w:val="006045E7"/>
    <w:rsid w:val="00605CA8"/>
    <w:rsid w:val="006A382D"/>
    <w:rsid w:val="006E4190"/>
    <w:rsid w:val="00706D7D"/>
    <w:rsid w:val="0071339A"/>
    <w:rsid w:val="00734902"/>
    <w:rsid w:val="0075055B"/>
    <w:rsid w:val="007833A7"/>
    <w:rsid w:val="007957F1"/>
    <w:rsid w:val="007E293B"/>
    <w:rsid w:val="007F392F"/>
    <w:rsid w:val="00832F84"/>
    <w:rsid w:val="0085031F"/>
    <w:rsid w:val="00855982"/>
    <w:rsid w:val="00870868"/>
    <w:rsid w:val="008714DD"/>
    <w:rsid w:val="00886821"/>
    <w:rsid w:val="00896C6E"/>
    <w:rsid w:val="008B7388"/>
    <w:rsid w:val="008F7D4A"/>
    <w:rsid w:val="00912FCD"/>
    <w:rsid w:val="0091757A"/>
    <w:rsid w:val="00924F58"/>
    <w:rsid w:val="00941FBD"/>
    <w:rsid w:val="00994683"/>
    <w:rsid w:val="009D5488"/>
    <w:rsid w:val="00A10484"/>
    <w:rsid w:val="00A62AEC"/>
    <w:rsid w:val="00A7036E"/>
    <w:rsid w:val="00A75D00"/>
    <w:rsid w:val="00AA632E"/>
    <w:rsid w:val="00AC6D5C"/>
    <w:rsid w:val="00B008D4"/>
    <w:rsid w:val="00B225F3"/>
    <w:rsid w:val="00B2578A"/>
    <w:rsid w:val="00B40AED"/>
    <w:rsid w:val="00B52649"/>
    <w:rsid w:val="00B84D84"/>
    <w:rsid w:val="00BA41C5"/>
    <w:rsid w:val="00CA28C4"/>
    <w:rsid w:val="00CB6247"/>
    <w:rsid w:val="00CF4E6C"/>
    <w:rsid w:val="00D81DB0"/>
    <w:rsid w:val="00DA203A"/>
    <w:rsid w:val="00E7318C"/>
    <w:rsid w:val="00E84E9C"/>
    <w:rsid w:val="00EB0BE4"/>
    <w:rsid w:val="00EB56EF"/>
    <w:rsid w:val="00EC21F5"/>
    <w:rsid w:val="00EC46DC"/>
    <w:rsid w:val="00FD262C"/>
    <w:rsid w:val="00FE5D2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character" w:styleId="UnresolvedMention">
    <w:name w:val="Unresolved Mention"/>
    <w:basedOn w:val="DefaultParagraphFont"/>
    <w:uiPriority w:val="99"/>
    <w:semiHidden/>
    <w:unhideWhenUsed/>
    <w:rsid w:val="0071339A"/>
    <w:rPr>
      <w:color w:val="605E5C"/>
      <w:shd w:val="clear" w:color="auto" w:fill="E1DFDD"/>
    </w:rPr>
  </w:style>
  <w:style w:type="paragraph" w:styleId="Revision">
    <w:name w:val="Revision"/>
    <w:hidden/>
    <w:uiPriority w:val="99"/>
    <w:semiHidden/>
    <w:rsid w:val="008F7D4A"/>
    <w:pPr>
      <w:spacing w:after="0" w:line="240" w:lineRule="auto"/>
    </w:pPr>
  </w:style>
  <w:style w:type="table" w:customStyle="1" w:styleId="ListTable4-Accent21">
    <w:name w:val="List Table 4 - Accent 21"/>
    <w:basedOn w:val="TableNormal"/>
    <w:next w:val="ListTable4-Accent2"/>
    <w:uiPriority w:val="49"/>
    <w:rsid w:val="00B008D4"/>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3">
    <w:name w:val="Table Grid3"/>
    <w:basedOn w:val="TableNormal"/>
    <w:next w:val="TableGrid"/>
    <w:uiPriority w:val="39"/>
    <w:rsid w:val="00B008D4"/>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008D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2">
    <w:name w:val="List Table 4 Accent 2"/>
    <w:basedOn w:val="TableNormal"/>
    <w:uiPriority w:val="49"/>
    <w:rsid w:val="00B008D4"/>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B0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fr.com/news/economy/monetary-policy/workers-must-demand-greater-share-of-pie-says-rba-governor-philip-lowe-20170619-gwtxh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tps://d3n8a8pro7vhmx.cloudfront.net/theausinstitute/pages/2905/attachments/original/1544650280/On_the_Brink_Formatted.pdf?154465028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wc.gov.au/documents/documents/payequity/earnings-characteristics-of-employees_final-18-12-2015.pdf" TargetMode="External"/><Relationship Id="rId5" Type="http://schemas.openxmlformats.org/officeDocument/2006/relationships/styles" Target="styles.xml"/><Relationship Id="rId15" Type="http://schemas.openxmlformats.org/officeDocument/2006/relationships/hyperlink" Target="ttps://d3n8a8pro7vhmx.cloudfront.net/theausinstitute/pages/2905/attachments/original/1544650280/On_the_Brink_Formatted.pdf?1544650280"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tps://d3n8a8pro7vhmx.cloudfront.net/theausinstitute/pages/2905/attachments/original/1544650280/On_the_Brink_Formatted.pdf?15446502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4700A3115542C4BE066CD70372FB59"/>
        <w:category>
          <w:name w:val="General"/>
          <w:gallery w:val="placeholder"/>
        </w:category>
        <w:types>
          <w:type w:val="bbPlcHdr"/>
        </w:types>
        <w:behaviors>
          <w:behavior w:val="content"/>
        </w:behaviors>
        <w:guid w:val="{110F8AB3-8F6B-4264-B57C-C1ED03701A1F}"/>
      </w:docPartPr>
      <w:docPartBody>
        <w:p w:rsidR="000713DA" w:rsidRDefault="000A6B20" w:rsidP="000A6B20">
          <w:pPr>
            <w:pStyle w:val="B04700A3115542C4BE066CD70372FB59"/>
          </w:pPr>
          <w:r w:rsidRPr="00DF74B4">
            <w:rPr>
              <w:rStyle w:val="PlaceholderText"/>
            </w:rPr>
            <w:t>Choose an item.</w:t>
          </w:r>
        </w:p>
      </w:docPartBody>
    </w:docPart>
    <w:docPart>
      <w:docPartPr>
        <w:name w:val="4C356AE241E3443ABCA6757F9A5DEDD4"/>
        <w:category>
          <w:name w:val="General"/>
          <w:gallery w:val="placeholder"/>
        </w:category>
        <w:types>
          <w:type w:val="bbPlcHdr"/>
        </w:types>
        <w:behaviors>
          <w:behavior w:val="content"/>
        </w:behaviors>
        <w:guid w:val="{8038B76A-DD3B-4CBF-8054-F5C0746702B6}"/>
      </w:docPartPr>
      <w:docPartBody>
        <w:p w:rsidR="000713DA" w:rsidRDefault="000A6B20" w:rsidP="000A6B20">
          <w:pPr>
            <w:pStyle w:val="4C356AE241E3443ABCA6757F9A5DEDD4"/>
          </w:pPr>
          <w:r w:rsidRPr="00DF74B4">
            <w:rPr>
              <w:rStyle w:val="PlaceholderText"/>
            </w:rPr>
            <w:t>Choose an item.</w:t>
          </w:r>
        </w:p>
      </w:docPartBody>
    </w:docPart>
    <w:docPart>
      <w:docPartPr>
        <w:name w:val="1F511AE5466247C38C981D741B2F761D"/>
        <w:category>
          <w:name w:val="General"/>
          <w:gallery w:val="placeholder"/>
        </w:category>
        <w:types>
          <w:type w:val="bbPlcHdr"/>
        </w:types>
        <w:behaviors>
          <w:behavior w:val="content"/>
        </w:behaviors>
        <w:guid w:val="{AFC60960-2974-4F66-8402-47BFA63EBEC6}"/>
      </w:docPartPr>
      <w:docPartBody>
        <w:p w:rsidR="000713DA" w:rsidRDefault="000A6B20" w:rsidP="000A6B20">
          <w:pPr>
            <w:pStyle w:val="1F511AE5466247C38C981D741B2F761D"/>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20"/>
    <w:rsid w:val="000713DA"/>
    <w:rsid w:val="000A6B20"/>
    <w:rsid w:val="0038572F"/>
    <w:rsid w:val="00766F5F"/>
    <w:rsid w:val="00974C4C"/>
    <w:rsid w:val="00D52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B20"/>
    <w:rPr>
      <w:color w:val="595959" w:themeColor="text1" w:themeTint="A6"/>
    </w:rPr>
  </w:style>
  <w:style w:type="paragraph" w:customStyle="1" w:styleId="B04700A3115542C4BE066CD70372FB59">
    <w:name w:val="B04700A3115542C4BE066CD70372FB59"/>
    <w:rsid w:val="000A6B20"/>
  </w:style>
  <w:style w:type="paragraph" w:customStyle="1" w:styleId="4C356AE241E3443ABCA6757F9A5DEDD4">
    <w:name w:val="4C356AE241E3443ABCA6757F9A5DEDD4"/>
    <w:rsid w:val="000A6B20"/>
  </w:style>
  <w:style w:type="paragraph" w:customStyle="1" w:styleId="1F511AE5466247C38C981D741B2F761D">
    <w:name w:val="1F511AE5466247C38C981D741B2F761D"/>
    <w:rsid w:val="000A6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purl.org/dc/terms/"/>
    <ds:schemaRef ds:uri="http://schemas.microsoft.com/office/2006/documentManagement/types"/>
    <ds:schemaRef ds:uri="4873beb7-5857-4685-be1f-d57550cc96c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0</TotalTime>
  <Pages>4</Pages>
  <Words>930</Words>
  <Characters>5305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2</cp:revision>
  <dcterms:created xsi:type="dcterms:W3CDTF">2019-04-22T03:35:00Z</dcterms:created>
  <dcterms:modified xsi:type="dcterms:W3CDTF">2019-04-22T03:35:00Z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